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B" w:rsidRPr="00E07893" w:rsidRDefault="00032DF8" w:rsidP="00032DF8">
      <w:pPr>
        <w:ind w:right="-612"/>
        <w:jc w:val="center"/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MEMORANDUM</w:t>
      </w:r>
    </w:p>
    <w:p w:rsidR="004419EB" w:rsidRPr="00E07893" w:rsidRDefault="004419EB" w:rsidP="00032DF8">
      <w:pPr>
        <w:ind w:right="-612"/>
        <w:jc w:val="center"/>
        <w:rPr>
          <w:b/>
          <w:sz w:val="22"/>
          <w:szCs w:val="22"/>
        </w:rPr>
      </w:pPr>
    </w:p>
    <w:p w:rsidR="006C354D" w:rsidRDefault="00032DF8" w:rsidP="000317F3">
      <w:pPr>
        <w:ind w:left="1080" w:right="-612" w:hanging="1080"/>
        <w:rPr>
          <w:sz w:val="22"/>
          <w:szCs w:val="22"/>
        </w:rPr>
      </w:pPr>
      <w:r w:rsidRPr="001F28BA">
        <w:rPr>
          <w:b/>
          <w:sz w:val="22"/>
          <w:szCs w:val="22"/>
        </w:rPr>
        <w:t>TO:</w:t>
      </w:r>
      <w:r w:rsidR="0064049D" w:rsidRPr="00E07893">
        <w:rPr>
          <w:sz w:val="22"/>
          <w:szCs w:val="22"/>
        </w:rPr>
        <w:t xml:space="preserve"> </w:t>
      </w:r>
      <w:r w:rsidR="005A6C0C" w:rsidRPr="00E07893">
        <w:rPr>
          <w:sz w:val="22"/>
          <w:szCs w:val="22"/>
        </w:rPr>
        <w:tab/>
      </w:r>
      <w:r w:rsidR="00E646F0" w:rsidRPr="00E07893">
        <w:rPr>
          <w:sz w:val="22"/>
          <w:szCs w:val="22"/>
        </w:rPr>
        <w:t xml:space="preserve">Project File, </w:t>
      </w:r>
      <w:r w:rsidR="000317F3" w:rsidRPr="00E07893">
        <w:rPr>
          <w:sz w:val="22"/>
          <w:szCs w:val="22"/>
        </w:rPr>
        <w:t>City of Fort Wayne</w:t>
      </w:r>
      <w:r w:rsidR="00E646F0" w:rsidRPr="00E07893">
        <w:rPr>
          <w:sz w:val="22"/>
          <w:szCs w:val="22"/>
        </w:rPr>
        <w:t xml:space="preserve">, </w:t>
      </w:r>
      <w:r w:rsidR="00E41D53">
        <w:rPr>
          <w:sz w:val="22"/>
          <w:szCs w:val="22"/>
        </w:rPr>
        <w:t>2011 Wastewater Utility</w:t>
      </w:r>
      <w:r w:rsidR="0040449C" w:rsidRPr="00E07893">
        <w:rPr>
          <w:sz w:val="22"/>
          <w:szCs w:val="22"/>
        </w:rPr>
        <w:t xml:space="preserve"> Improvements</w:t>
      </w:r>
      <w:r w:rsidR="00E646F0" w:rsidRPr="00E07893">
        <w:rPr>
          <w:sz w:val="22"/>
          <w:szCs w:val="22"/>
        </w:rPr>
        <w:t xml:space="preserve">, </w:t>
      </w:r>
    </w:p>
    <w:p w:rsidR="00032DF8" w:rsidRPr="00E07893" w:rsidRDefault="00E646F0" w:rsidP="006C354D">
      <w:pPr>
        <w:ind w:left="1080" w:right="-612"/>
        <w:rPr>
          <w:sz w:val="22"/>
          <w:szCs w:val="22"/>
        </w:rPr>
      </w:pPr>
      <w:r w:rsidRPr="00E07893">
        <w:rPr>
          <w:sz w:val="22"/>
          <w:szCs w:val="22"/>
        </w:rPr>
        <w:t xml:space="preserve">SRF Project # </w:t>
      </w:r>
      <w:r w:rsidR="0040449C" w:rsidRPr="00E07893">
        <w:rPr>
          <w:sz w:val="22"/>
          <w:szCs w:val="22"/>
        </w:rPr>
        <w:t>W</w:t>
      </w:r>
      <w:r w:rsidRPr="00E07893">
        <w:rPr>
          <w:sz w:val="22"/>
          <w:szCs w:val="22"/>
        </w:rPr>
        <w:t>W</w:t>
      </w:r>
      <w:r w:rsidR="0040449C" w:rsidRPr="00E07893">
        <w:rPr>
          <w:sz w:val="22"/>
          <w:szCs w:val="22"/>
        </w:rPr>
        <w:t>11 17 01 0</w:t>
      </w:r>
      <w:r w:rsidR="00E41D53">
        <w:rPr>
          <w:sz w:val="22"/>
          <w:szCs w:val="22"/>
        </w:rPr>
        <w:t>6</w:t>
      </w:r>
      <w:r w:rsidR="005A6C0C" w:rsidRPr="00E07893">
        <w:rPr>
          <w:sz w:val="22"/>
          <w:szCs w:val="22"/>
        </w:rPr>
        <w:tab/>
      </w:r>
    </w:p>
    <w:p w:rsidR="00032DF8" w:rsidRPr="00164087" w:rsidRDefault="00032DF8" w:rsidP="00032DF8">
      <w:pPr>
        <w:ind w:right="-612"/>
        <w:rPr>
          <w:sz w:val="16"/>
          <w:szCs w:val="16"/>
        </w:rPr>
      </w:pPr>
    </w:p>
    <w:p w:rsidR="00032DF8" w:rsidRPr="00E07893" w:rsidRDefault="00032DF8" w:rsidP="000317F3">
      <w:pPr>
        <w:ind w:left="1080" w:right="-612" w:hanging="1080"/>
        <w:rPr>
          <w:sz w:val="22"/>
          <w:szCs w:val="22"/>
        </w:rPr>
      </w:pPr>
      <w:r w:rsidRPr="001F28BA">
        <w:rPr>
          <w:b/>
          <w:sz w:val="22"/>
          <w:szCs w:val="22"/>
        </w:rPr>
        <w:t>FROM:</w:t>
      </w:r>
      <w:r w:rsidR="0064049D" w:rsidRPr="00E07893">
        <w:rPr>
          <w:sz w:val="22"/>
          <w:szCs w:val="22"/>
        </w:rPr>
        <w:t xml:space="preserve"> </w:t>
      </w:r>
      <w:r w:rsidR="00E646F0" w:rsidRPr="00E07893">
        <w:rPr>
          <w:sz w:val="22"/>
          <w:szCs w:val="22"/>
        </w:rPr>
        <w:t xml:space="preserve"> </w:t>
      </w:r>
      <w:r w:rsidR="000317F3" w:rsidRPr="00E07893">
        <w:rPr>
          <w:sz w:val="22"/>
          <w:szCs w:val="22"/>
        </w:rPr>
        <w:tab/>
      </w:r>
      <w:r w:rsidR="0040449C" w:rsidRPr="00E07893">
        <w:rPr>
          <w:sz w:val="22"/>
          <w:szCs w:val="22"/>
        </w:rPr>
        <w:t>Jack Fisher</w:t>
      </w:r>
      <w:r w:rsidR="005A6C0C" w:rsidRPr="00E07893">
        <w:rPr>
          <w:sz w:val="22"/>
          <w:szCs w:val="22"/>
        </w:rPr>
        <w:tab/>
      </w:r>
    </w:p>
    <w:p w:rsidR="00F0489A" w:rsidRPr="00164087" w:rsidRDefault="00F0489A" w:rsidP="00032DF8">
      <w:pPr>
        <w:ind w:right="-612"/>
        <w:rPr>
          <w:sz w:val="16"/>
          <w:szCs w:val="16"/>
        </w:rPr>
      </w:pPr>
    </w:p>
    <w:p w:rsidR="00F0489A" w:rsidRPr="007D074F" w:rsidRDefault="00F0489A" w:rsidP="000317F3">
      <w:pPr>
        <w:ind w:left="1080" w:right="-612" w:hanging="1080"/>
        <w:rPr>
          <w:color w:val="FF0000"/>
          <w:sz w:val="22"/>
          <w:szCs w:val="22"/>
        </w:rPr>
      </w:pPr>
      <w:r w:rsidRPr="001F28BA">
        <w:rPr>
          <w:b/>
          <w:sz w:val="22"/>
          <w:szCs w:val="22"/>
        </w:rPr>
        <w:t>DATE:</w:t>
      </w:r>
      <w:r w:rsidR="0064049D" w:rsidRPr="00E07893">
        <w:rPr>
          <w:sz w:val="22"/>
          <w:szCs w:val="22"/>
        </w:rPr>
        <w:t xml:space="preserve"> </w:t>
      </w:r>
      <w:r w:rsidR="000317F3" w:rsidRPr="00E07893">
        <w:rPr>
          <w:sz w:val="22"/>
          <w:szCs w:val="22"/>
        </w:rPr>
        <w:tab/>
      </w:r>
      <w:r w:rsidR="003A0150" w:rsidRPr="00BE37A9">
        <w:rPr>
          <w:sz w:val="22"/>
          <w:szCs w:val="22"/>
        </w:rPr>
        <w:t>August</w:t>
      </w:r>
      <w:r w:rsidR="00E41D53" w:rsidRPr="00BE37A9">
        <w:rPr>
          <w:sz w:val="22"/>
          <w:szCs w:val="22"/>
        </w:rPr>
        <w:t xml:space="preserve"> </w:t>
      </w:r>
      <w:r w:rsidR="00BE37A9" w:rsidRPr="00BE37A9">
        <w:rPr>
          <w:sz w:val="22"/>
          <w:szCs w:val="22"/>
        </w:rPr>
        <w:t>23</w:t>
      </w:r>
      <w:r w:rsidR="00E41D53" w:rsidRPr="00BE37A9">
        <w:rPr>
          <w:sz w:val="22"/>
          <w:szCs w:val="22"/>
        </w:rPr>
        <w:t>, 2012</w:t>
      </w:r>
      <w:r w:rsidR="00E41D53">
        <w:rPr>
          <w:sz w:val="22"/>
          <w:szCs w:val="22"/>
        </w:rPr>
        <w:t xml:space="preserve"> </w:t>
      </w:r>
      <w:r w:rsidR="005A6C0C" w:rsidRPr="00E07893">
        <w:rPr>
          <w:sz w:val="22"/>
          <w:szCs w:val="22"/>
        </w:rPr>
        <w:tab/>
      </w:r>
    </w:p>
    <w:p w:rsidR="00032DF8" w:rsidRPr="00164087" w:rsidRDefault="00032DF8" w:rsidP="00032DF8">
      <w:pPr>
        <w:ind w:right="-612"/>
        <w:rPr>
          <w:sz w:val="16"/>
          <w:szCs w:val="16"/>
        </w:rPr>
      </w:pPr>
    </w:p>
    <w:p w:rsidR="00032DF8" w:rsidRPr="00E07893" w:rsidRDefault="00032DF8" w:rsidP="000317F3">
      <w:pPr>
        <w:ind w:left="1080" w:right="-612" w:hanging="1080"/>
        <w:rPr>
          <w:sz w:val="22"/>
          <w:szCs w:val="22"/>
        </w:rPr>
      </w:pPr>
      <w:r w:rsidRPr="001F28BA">
        <w:rPr>
          <w:b/>
          <w:sz w:val="22"/>
          <w:szCs w:val="22"/>
        </w:rPr>
        <w:t>RE:</w:t>
      </w:r>
      <w:r w:rsidR="0064049D" w:rsidRPr="00E07893">
        <w:rPr>
          <w:sz w:val="22"/>
          <w:szCs w:val="22"/>
        </w:rPr>
        <w:t xml:space="preserve"> </w:t>
      </w:r>
      <w:r w:rsidR="005A6C0C" w:rsidRPr="00E07893">
        <w:rPr>
          <w:sz w:val="22"/>
          <w:szCs w:val="22"/>
        </w:rPr>
        <w:tab/>
      </w:r>
      <w:r w:rsidR="00E646F0" w:rsidRPr="00E07893">
        <w:rPr>
          <w:sz w:val="22"/>
          <w:szCs w:val="22"/>
        </w:rPr>
        <w:t>Green Project Reserve</w:t>
      </w:r>
      <w:r w:rsidR="00E07893" w:rsidRPr="00E07893">
        <w:rPr>
          <w:sz w:val="22"/>
          <w:szCs w:val="22"/>
        </w:rPr>
        <w:t xml:space="preserve"> (GPR)</w:t>
      </w:r>
      <w:r w:rsidR="00E646F0" w:rsidRPr="00E07893">
        <w:rPr>
          <w:sz w:val="22"/>
          <w:szCs w:val="22"/>
        </w:rPr>
        <w:t>, Business Case</w:t>
      </w:r>
      <w:r w:rsidR="005A6C0C" w:rsidRPr="00E07893">
        <w:rPr>
          <w:sz w:val="22"/>
          <w:szCs w:val="22"/>
        </w:rPr>
        <w:tab/>
      </w:r>
    </w:p>
    <w:p w:rsidR="0064049D" w:rsidRPr="00164087" w:rsidRDefault="0064049D" w:rsidP="00032DF8">
      <w:pPr>
        <w:ind w:right="-612"/>
        <w:rPr>
          <w:sz w:val="16"/>
          <w:szCs w:val="16"/>
        </w:rPr>
      </w:pPr>
    </w:p>
    <w:p w:rsidR="00E646F0" w:rsidRPr="00E07893" w:rsidRDefault="00E646F0" w:rsidP="00E646F0">
      <w:pPr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Summary</w:t>
      </w:r>
      <w:r w:rsidR="001F09FC" w:rsidRPr="00E07893">
        <w:rPr>
          <w:b/>
          <w:sz w:val="22"/>
          <w:szCs w:val="22"/>
        </w:rPr>
        <w:t>:</w:t>
      </w:r>
    </w:p>
    <w:p w:rsidR="004419EB" w:rsidRPr="00164087" w:rsidRDefault="004419EB" w:rsidP="00E646F0">
      <w:pPr>
        <w:rPr>
          <w:b/>
          <w:sz w:val="16"/>
          <w:szCs w:val="16"/>
        </w:rPr>
      </w:pPr>
    </w:p>
    <w:p w:rsidR="000D7B4F" w:rsidRDefault="000D7B4F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BB01C9">
        <w:rPr>
          <w:rFonts w:ascii="Times New Roman" w:hAnsi="Times New Roman"/>
        </w:rPr>
        <w:t xml:space="preserve">As part of an Agreed Order and Consent Decree, the City is required to ensure that the collection system is operated and maintained in the best practical manner.  </w:t>
      </w:r>
      <w:r w:rsidR="0009027B">
        <w:rPr>
          <w:rFonts w:ascii="Times New Roman" w:hAnsi="Times New Roman"/>
        </w:rPr>
        <w:t>Appendix 2 of the Consent Decree requires a sewer rehabilitation program</w:t>
      </w:r>
      <w:r w:rsidRPr="00E07893">
        <w:rPr>
          <w:rFonts w:ascii="Times New Roman" w:hAnsi="Times New Roman"/>
        </w:rPr>
        <w:t xml:space="preserve">.  </w:t>
      </w:r>
    </w:p>
    <w:p w:rsidR="00E07893" w:rsidRPr="00164087" w:rsidRDefault="00E07893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9570CE" w:rsidRDefault="000D7B4F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09027B">
        <w:rPr>
          <w:rFonts w:ascii="Times New Roman" w:hAnsi="Times New Roman"/>
        </w:rPr>
        <w:t xml:space="preserve">This project provides for the rehabilitation of smaller diameter (8-inch to 15-inches) and medium diameter (18-inch to </w:t>
      </w:r>
      <w:r w:rsidR="003A0150">
        <w:rPr>
          <w:rFonts w:ascii="Times New Roman" w:hAnsi="Times New Roman"/>
        </w:rPr>
        <w:t>24</w:t>
      </w:r>
      <w:r w:rsidR="0009027B">
        <w:rPr>
          <w:rFonts w:ascii="Times New Roman" w:hAnsi="Times New Roman"/>
        </w:rPr>
        <w:t>-inches) as identified and prioritized in a review of the sewer televising tapes</w:t>
      </w:r>
      <w:r w:rsidR="009570CE">
        <w:rPr>
          <w:rFonts w:ascii="Times New Roman" w:hAnsi="Times New Roman"/>
        </w:rPr>
        <w:t>, customer complaints and the recommendations of the Sewer Maintenance Department.  The project will reduce infiltration and inflow being transported to the wastewater treatment plant for treatment.</w:t>
      </w:r>
    </w:p>
    <w:p w:rsidR="009570CE" w:rsidRPr="00164087" w:rsidRDefault="009570CE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0D7B4F" w:rsidRDefault="009570CE" w:rsidP="009570C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This pr</w:t>
      </w:r>
      <w:r w:rsidR="000D7B4F" w:rsidRPr="00E07893">
        <w:rPr>
          <w:rFonts w:ascii="Times New Roman" w:hAnsi="Times New Roman"/>
        </w:rPr>
        <w:t xml:space="preserve">oject </w:t>
      </w:r>
      <w:r w:rsidR="00C87569" w:rsidRPr="00E07893">
        <w:rPr>
          <w:rFonts w:ascii="Times New Roman" w:hAnsi="Times New Roman"/>
        </w:rPr>
        <w:t xml:space="preserve">includes </w:t>
      </w:r>
      <w:r w:rsidR="00BD02C3" w:rsidRPr="00E07893">
        <w:rPr>
          <w:rFonts w:ascii="Times New Roman" w:hAnsi="Times New Roman"/>
        </w:rPr>
        <w:t>rehabilitating</w:t>
      </w:r>
      <w:r w:rsidR="000D7B4F" w:rsidRPr="00E07893">
        <w:rPr>
          <w:rFonts w:ascii="Times New Roman" w:hAnsi="Times New Roman"/>
        </w:rPr>
        <w:t xml:space="preserve"> approximately </w:t>
      </w:r>
      <w:r w:rsidR="003A0150">
        <w:rPr>
          <w:rFonts w:ascii="Times New Roman" w:hAnsi="Times New Roman"/>
        </w:rPr>
        <w:t>23,313</w:t>
      </w:r>
      <w:r>
        <w:rPr>
          <w:rFonts w:ascii="Times New Roman" w:hAnsi="Times New Roman"/>
        </w:rPr>
        <w:t xml:space="preserve"> feet of 8-inch, </w:t>
      </w:r>
      <w:r w:rsidR="003A0150">
        <w:rPr>
          <w:rFonts w:ascii="Times New Roman" w:hAnsi="Times New Roman"/>
        </w:rPr>
        <w:t>6,719</w:t>
      </w:r>
      <w:r w:rsidR="00D7738F">
        <w:rPr>
          <w:rFonts w:ascii="Times New Roman" w:hAnsi="Times New Roman"/>
        </w:rPr>
        <w:t xml:space="preserve"> feet of 10-inch, </w:t>
      </w:r>
      <w:r w:rsidR="003A0150">
        <w:rPr>
          <w:rFonts w:ascii="Times New Roman" w:hAnsi="Times New Roman"/>
        </w:rPr>
        <w:t>18,232</w:t>
      </w:r>
      <w:r w:rsidR="00D7738F">
        <w:rPr>
          <w:rFonts w:ascii="Times New Roman" w:hAnsi="Times New Roman"/>
        </w:rPr>
        <w:t xml:space="preserve"> feet of 12-inch, </w:t>
      </w:r>
      <w:r w:rsidR="003A0150">
        <w:rPr>
          <w:rFonts w:ascii="Times New Roman" w:hAnsi="Times New Roman"/>
        </w:rPr>
        <w:t>400</w:t>
      </w:r>
      <w:r w:rsidR="00D7738F">
        <w:rPr>
          <w:rFonts w:ascii="Times New Roman" w:hAnsi="Times New Roman"/>
        </w:rPr>
        <w:t xml:space="preserve"> feet of 15-inch, </w:t>
      </w:r>
      <w:r w:rsidR="003A0150">
        <w:rPr>
          <w:rFonts w:ascii="Times New Roman" w:hAnsi="Times New Roman"/>
        </w:rPr>
        <w:t>763</w:t>
      </w:r>
      <w:r w:rsidR="00D7738F">
        <w:rPr>
          <w:rFonts w:ascii="Times New Roman" w:hAnsi="Times New Roman"/>
        </w:rPr>
        <w:t xml:space="preserve"> feet of 18-inch, </w:t>
      </w:r>
      <w:r w:rsidR="003A0150">
        <w:rPr>
          <w:rFonts w:ascii="Times New Roman" w:hAnsi="Times New Roman"/>
        </w:rPr>
        <w:t>and</w:t>
      </w:r>
      <w:r w:rsidR="00D7738F">
        <w:rPr>
          <w:rFonts w:ascii="Times New Roman" w:hAnsi="Times New Roman"/>
        </w:rPr>
        <w:t xml:space="preserve"> </w:t>
      </w:r>
      <w:r w:rsidR="003A0150">
        <w:rPr>
          <w:rFonts w:ascii="Times New Roman" w:hAnsi="Times New Roman"/>
        </w:rPr>
        <w:t>9</w:t>
      </w:r>
      <w:r w:rsidR="00556921">
        <w:rPr>
          <w:rFonts w:ascii="Times New Roman" w:hAnsi="Times New Roman"/>
        </w:rPr>
        <w:t>,</w:t>
      </w:r>
      <w:r w:rsidR="003A0150">
        <w:rPr>
          <w:rFonts w:ascii="Times New Roman" w:hAnsi="Times New Roman"/>
        </w:rPr>
        <w:t>389</w:t>
      </w:r>
      <w:r w:rsidR="00D7738F">
        <w:rPr>
          <w:rFonts w:ascii="Times New Roman" w:hAnsi="Times New Roman"/>
        </w:rPr>
        <w:t xml:space="preserve"> feet of 24-inch.</w:t>
      </w:r>
    </w:p>
    <w:p w:rsidR="00164087" w:rsidRPr="00164087" w:rsidRDefault="00164087" w:rsidP="009570CE">
      <w:pPr>
        <w:pStyle w:val="ListParagraph"/>
        <w:rPr>
          <w:rFonts w:ascii="Times New Roman" w:hAnsi="Times New Roman"/>
          <w:sz w:val="16"/>
          <w:szCs w:val="16"/>
        </w:rPr>
      </w:pPr>
    </w:p>
    <w:p w:rsidR="00164087" w:rsidRPr="00164087" w:rsidRDefault="00164087" w:rsidP="00164087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>
        <w:rPr>
          <w:rFonts w:ascii="Times New Roman" w:hAnsi="Times New Roman"/>
        </w:rPr>
        <w:t>The project also includes the installation of infiltration ditches in the Snider and Glenwood Sewer Separation Project. The infiltration ditches are considered categorical pursuant to Paragraph 1.2-1 of the CWSRF Technical Guidance in Attachment 2 of the USEPA GPR Guidance.</w:t>
      </w:r>
    </w:p>
    <w:p w:rsidR="000D7B4F" w:rsidRPr="00164087" w:rsidRDefault="000D7B4F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164087" w:rsidRPr="00164087" w:rsidRDefault="000D7B4F" w:rsidP="00164087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  <w:t xml:space="preserve">Estimated State Revolving Fund Loan Amount </w:t>
      </w:r>
      <w:r w:rsidR="004C7DA5">
        <w:rPr>
          <w:rFonts w:ascii="Times New Roman" w:hAnsi="Times New Roman"/>
        </w:rPr>
        <w:t>is</w:t>
      </w:r>
      <w:r w:rsidRPr="00E07893">
        <w:rPr>
          <w:rFonts w:ascii="Times New Roman" w:hAnsi="Times New Roman"/>
        </w:rPr>
        <w:t xml:space="preserve"> $</w:t>
      </w:r>
      <w:r w:rsidR="00D7738F">
        <w:rPr>
          <w:rFonts w:ascii="Times New Roman" w:hAnsi="Times New Roman"/>
        </w:rPr>
        <w:t>10,</w:t>
      </w:r>
      <w:r w:rsidR="004855BA">
        <w:rPr>
          <w:rFonts w:ascii="Times New Roman" w:hAnsi="Times New Roman"/>
        </w:rPr>
        <w:t>400</w:t>
      </w:r>
      <w:r w:rsidR="00D7738F">
        <w:rPr>
          <w:rFonts w:ascii="Times New Roman" w:hAnsi="Times New Roman"/>
        </w:rPr>
        <w:t>,000</w:t>
      </w:r>
      <w:r w:rsidRPr="00E07893">
        <w:rPr>
          <w:rFonts w:ascii="Times New Roman" w:hAnsi="Times New Roman"/>
        </w:rPr>
        <w:t>.</w:t>
      </w:r>
    </w:p>
    <w:p w:rsidR="000D7B4F" w:rsidRPr="00164087" w:rsidRDefault="000D7B4F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C87569" w:rsidRPr="00E07893" w:rsidRDefault="000D7B4F" w:rsidP="00BD02C3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1F09FC" w:rsidRPr="00E07893">
        <w:rPr>
          <w:rFonts w:ascii="Times New Roman" w:hAnsi="Times New Roman"/>
        </w:rPr>
        <w:t xml:space="preserve">Estimated </w:t>
      </w:r>
      <w:r w:rsidR="00BD02C3" w:rsidRPr="00E07893">
        <w:rPr>
          <w:rFonts w:ascii="Times New Roman" w:hAnsi="Times New Roman"/>
        </w:rPr>
        <w:t>e</w:t>
      </w:r>
      <w:r w:rsidR="001F09FC" w:rsidRPr="00E07893">
        <w:rPr>
          <w:rFonts w:ascii="Times New Roman" w:hAnsi="Times New Roman"/>
        </w:rPr>
        <w:t xml:space="preserve">nergy </w:t>
      </w:r>
      <w:r w:rsidR="00BD02C3" w:rsidRPr="00E07893">
        <w:rPr>
          <w:rFonts w:ascii="Times New Roman" w:hAnsi="Times New Roman"/>
        </w:rPr>
        <w:t>e</w:t>
      </w:r>
      <w:r w:rsidR="001F09FC" w:rsidRPr="00E07893">
        <w:rPr>
          <w:rFonts w:ascii="Times New Roman" w:hAnsi="Times New Roman"/>
        </w:rPr>
        <w:t xml:space="preserve">fficiency </w:t>
      </w:r>
      <w:r w:rsidR="00BD02C3" w:rsidRPr="00E07893">
        <w:rPr>
          <w:rFonts w:ascii="Times New Roman" w:hAnsi="Times New Roman"/>
        </w:rPr>
        <w:t>s</w:t>
      </w:r>
      <w:r w:rsidR="001F09FC" w:rsidRPr="00E07893">
        <w:rPr>
          <w:rFonts w:ascii="Times New Roman" w:hAnsi="Times New Roman"/>
        </w:rPr>
        <w:t xml:space="preserve">avings (Green) portion of the loan </w:t>
      </w:r>
      <w:r w:rsidR="004C7DA5">
        <w:rPr>
          <w:rFonts w:ascii="Times New Roman" w:hAnsi="Times New Roman"/>
        </w:rPr>
        <w:t>is</w:t>
      </w:r>
      <w:r w:rsidR="001F09FC" w:rsidRPr="00E07893">
        <w:rPr>
          <w:rFonts w:ascii="Times New Roman" w:hAnsi="Times New Roman"/>
        </w:rPr>
        <w:t xml:space="preserve"> $</w:t>
      </w:r>
      <w:r w:rsidR="00D7738F">
        <w:rPr>
          <w:rFonts w:ascii="Times New Roman" w:hAnsi="Times New Roman"/>
        </w:rPr>
        <w:t>2,</w:t>
      </w:r>
      <w:r w:rsidR="006C354D">
        <w:rPr>
          <w:rFonts w:ascii="Times New Roman" w:hAnsi="Times New Roman"/>
        </w:rPr>
        <w:t>588</w:t>
      </w:r>
      <w:r w:rsidR="00D7738F">
        <w:rPr>
          <w:rFonts w:ascii="Times New Roman" w:hAnsi="Times New Roman"/>
        </w:rPr>
        <w:t>,</w:t>
      </w:r>
      <w:r w:rsidR="006C354D">
        <w:rPr>
          <w:rFonts w:ascii="Times New Roman" w:hAnsi="Times New Roman"/>
        </w:rPr>
        <w:t>116</w:t>
      </w:r>
      <w:r w:rsidR="001F09FC" w:rsidRPr="00E07893">
        <w:rPr>
          <w:rFonts w:ascii="Times New Roman" w:hAnsi="Times New Roman"/>
        </w:rPr>
        <w:t xml:space="preserve"> for construction costs pertaining to </w:t>
      </w:r>
      <w:r w:rsidR="00C87569" w:rsidRPr="00E07893">
        <w:rPr>
          <w:rFonts w:ascii="Times New Roman" w:hAnsi="Times New Roman"/>
        </w:rPr>
        <w:t xml:space="preserve">the sewer rehabilitation </w:t>
      </w:r>
      <w:r w:rsidR="00E07893" w:rsidRPr="00E07893">
        <w:rPr>
          <w:rFonts w:ascii="Times New Roman" w:hAnsi="Times New Roman"/>
        </w:rPr>
        <w:t>work</w:t>
      </w:r>
      <w:r w:rsidR="00164087">
        <w:rPr>
          <w:rFonts w:ascii="Times New Roman" w:hAnsi="Times New Roman"/>
        </w:rPr>
        <w:t>, and $</w:t>
      </w:r>
      <w:r w:rsidR="006C354D">
        <w:rPr>
          <w:rFonts w:ascii="Times New Roman" w:hAnsi="Times New Roman"/>
        </w:rPr>
        <w:t>39,925</w:t>
      </w:r>
      <w:r w:rsidR="00164087">
        <w:rPr>
          <w:rFonts w:ascii="Times New Roman" w:hAnsi="Times New Roman"/>
        </w:rPr>
        <w:t xml:space="preserve"> for the construction of infiltration ditches</w:t>
      </w:r>
      <w:r w:rsidR="004855BA">
        <w:rPr>
          <w:rFonts w:ascii="Times New Roman" w:hAnsi="Times New Roman"/>
        </w:rPr>
        <w:t>.</w:t>
      </w:r>
      <w:r w:rsidR="00D7738F">
        <w:rPr>
          <w:rFonts w:ascii="Times New Roman" w:hAnsi="Times New Roman"/>
        </w:rPr>
        <w:t xml:space="preserve"> </w:t>
      </w:r>
      <w:r w:rsidR="00164087">
        <w:rPr>
          <w:rFonts w:ascii="Times New Roman" w:hAnsi="Times New Roman"/>
        </w:rPr>
        <w:t>Design costs for the infiltration ditches are $</w:t>
      </w:r>
      <w:r w:rsidR="006C354D">
        <w:rPr>
          <w:rFonts w:ascii="Times New Roman" w:hAnsi="Times New Roman"/>
        </w:rPr>
        <w:t>3,960</w:t>
      </w:r>
      <w:r w:rsidR="00164087">
        <w:rPr>
          <w:rFonts w:ascii="Times New Roman" w:hAnsi="Times New Roman"/>
        </w:rPr>
        <w:t xml:space="preserve">. </w:t>
      </w:r>
      <w:r w:rsidR="004855BA">
        <w:rPr>
          <w:rFonts w:ascii="Times New Roman" w:hAnsi="Times New Roman"/>
        </w:rPr>
        <w:t>The t</w:t>
      </w:r>
      <w:r w:rsidR="00C87569" w:rsidRPr="00E07893">
        <w:rPr>
          <w:rFonts w:ascii="Times New Roman" w:hAnsi="Times New Roman"/>
        </w:rPr>
        <w:t>otal GPR cost of $</w:t>
      </w:r>
      <w:r w:rsidR="006C354D">
        <w:rPr>
          <w:rFonts w:ascii="Times New Roman" w:hAnsi="Times New Roman"/>
        </w:rPr>
        <w:t>2,632,001</w:t>
      </w:r>
      <w:r w:rsidR="00C87569" w:rsidRPr="00E07893">
        <w:rPr>
          <w:rFonts w:ascii="Times New Roman" w:hAnsi="Times New Roman"/>
        </w:rPr>
        <w:t xml:space="preserve"> is </w:t>
      </w:r>
      <w:r w:rsidR="00530D50">
        <w:rPr>
          <w:rFonts w:ascii="Times New Roman" w:hAnsi="Times New Roman"/>
        </w:rPr>
        <w:t>2</w:t>
      </w:r>
      <w:r w:rsidR="006C354D">
        <w:rPr>
          <w:rFonts w:ascii="Times New Roman" w:hAnsi="Times New Roman"/>
        </w:rPr>
        <w:t>5</w:t>
      </w:r>
      <w:r w:rsidR="00C87569" w:rsidRPr="00E07893">
        <w:rPr>
          <w:rFonts w:ascii="Times New Roman" w:hAnsi="Times New Roman"/>
        </w:rPr>
        <w:t>% of the total project costs.</w:t>
      </w:r>
      <w:r w:rsidR="00BD02C3" w:rsidRPr="00E07893">
        <w:rPr>
          <w:rFonts w:ascii="Times New Roman" w:hAnsi="Times New Roman"/>
        </w:rPr>
        <w:t xml:space="preserve"> </w:t>
      </w:r>
      <w:r w:rsidR="00E07893">
        <w:rPr>
          <w:rFonts w:ascii="Times New Roman" w:hAnsi="Times New Roman"/>
        </w:rPr>
        <w:t xml:space="preserve">  </w:t>
      </w:r>
    </w:p>
    <w:p w:rsidR="00C87569" w:rsidRPr="00E07893" w:rsidRDefault="00C87569" w:rsidP="00C87569">
      <w:pPr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Conclusions</w:t>
      </w:r>
    </w:p>
    <w:p w:rsidR="00C87569" w:rsidRPr="00164087" w:rsidRDefault="00C87569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0D7B4F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  <w:t xml:space="preserve">The </w:t>
      </w:r>
      <w:r w:rsidR="00530D50">
        <w:rPr>
          <w:rFonts w:ascii="Times New Roman" w:hAnsi="Times New Roman"/>
        </w:rPr>
        <w:t xml:space="preserve">proposed </w:t>
      </w:r>
      <w:r w:rsidR="00CF2462">
        <w:rPr>
          <w:rFonts w:ascii="Times New Roman" w:hAnsi="Times New Roman"/>
        </w:rPr>
        <w:t xml:space="preserve">CIPP </w:t>
      </w:r>
      <w:bookmarkStart w:id="0" w:name="_GoBack"/>
      <w:bookmarkEnd w:id="0"/>
      <w:r w:rsidR="00530D50">
        <w:rPr>
          <w:rFonts w:ascii="Times New Roman" w:hAnsi="Times New Roman"/>
        </w:rPr>
        <w:t>improvements will result in annual energy cost savings of $</w:t>
      </w:r>
      <w:r w:rsidR="003A0150">
        <w:rPr>
          <w:rFonts w:ascii="Times New Roman" w:hAnsi="Times New Roman"/>
        </w:rPr>
        <w:t>33,227</w:t>
      </w:r>
      <w:r w:rsidR="00530D50">
        <w:rPr>
          <w:rFonts w:ascii="Times New Roman" w:hAnsi="Times New Roman"/>
        </w:rPr>
        <w:t xml:space="preserve"> associated with the wastewater treatment plant, and $</w:t>
      </w:r>
      <w:r w:rsidR="003A0150">
        <w:rPr>
          <w:rFonts w:ascii="Times New Roman" w:hAnsi="Times New Roman"/>
        </w:rPr>
        <w:t>244,949</w:t>
      </w:r>
      <w:r w:rsidR="00530D50">
        <w:rPr>
          <w:rFonts w:ascii="Times New Roman" w:hAnsi="Times New Roman"/>
        </w:rPr>
        <w:t xml:space="preserve"> total treatment cost savings</w:t>
      </w:r>
      <w:r w:rsidRPr="00E07893">
        <w:rPr>
          <w:rFonts w:ascii="Times New Roman" w:hAnsi="Times New Roman"/>
        </w:rPr>
        <w:t xml:space="preserve">.  </w:t>
      </w:r>
    </w:p>
    <w:p w:rsidR="00C87569" w:rsidRPr="00164087" w:rsidRDefault="00C87569" w:rsidP="000D7B4F">
      <w:pPr>
        <w:pStyle w:val="ListParagraph"/>
        <w:ind w:hanging="360"/>
        <w:rPr>
          <w:rFonts w:ascii="Times New Roman" w:hAnsi="Times New Roman"/>
          <w:sz w:val="16"/>
          <w:szCs w:val="16"/>
        </w:rPr>
      </w:pPr>
    </w:p>
    <w:p w:rsidR="00C87569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F06517" w:rsidRPr="00E07893">
        <w:rPr>
          <w:rFonts w:ascii="Times New Roman" w:hAnsi="Times New Roman"/>
        </w:rPr>
        <w:t>Th</w:t>
      </w:r>
      <w:r w:rsidR="00164087">
        <w:rPr>
          <w:rFonts w:ascii="Times New Roman" w:hAnsi="Times New Roman"/>
        </w:rPr>
        <w:t>e CIPP</w:t>
      </w:r>
      <w:r w:rsidR="00F06517" w:rsidRPr="00E07893">
        <w:rPr>
          <w:rFonts w:ascii="Times New Roman" w:hAnsi="Times New Roman"/>
        </w:rPr>
        <w:t xml:space="preserve"> project will ha</w:t>
      </w:r>
      <w:r w:rsidR="00975CDA">
        <w:rPr>
          <w:rFonts w:ascii="Times New Roman" w:hAnsi="Times New Roman"/>
        </w:rPr>
        <w:t>ve</w:t>
      </w:r>
      <w:r w:rsidR="00F06517" w:rsidRPr="00E07893">
        <w:rPr>
          <w:rFonts w:ascii="Times New Roman" w:hAnsi="Times New Roman"/>
        </w:rPr>
        <w:t xml:space="preserve"> a</w:t>
      </w:r>
      <w:r w:rsidR="003A0150">
        <w:rPr>
          <w:rFonts w:ascii="Times New Roman" w:hAnsi="Times New Roman"/>
        </w:rPr>
        <w:t>n</w:t>
      </w:r>
      <w:r w:rsidR="00F06517" w:rsidRPr="00E07893">
        <w:rPr>
          <w:rFonts w:ascii="Times New Roman" w:hAnsi="Times New Roman"/>
        </w:rPr>
        <w:t xml:space="preserve"> </w:t>
      </w:r>
      <w:r w:rsidR="00530D50">
        <w:rPr>
          <w:rFonts w:ascii="Times New Roman" w:hAnsi="Times New Roman"/>
        </w:rPr>
        <w:t>1</w:t>
      </w:r>
      <w:r w:rsidR="003A0150">
        <w:rPr>
          <w:rFonts w:ascii="Times New Roman" w:hAnsi="Times New Roman"/>
        </w:rPr>
        <w:t>1</w:t>
      </w:r>
      <w:r w:rsidR="00164087">
        <w:rPr>
          <w:rFonts w:ascii="Times New Roman" w:hAnsi="Times New Roman"/>
        </w:rPr>
        <w:t>-</w:t>
      </w:r>
      <w:r w:rsidR="00F06517" w:rsidRPr="00E07893">
        <w:rPr>
          <w:rFonts w:ascii="Times New Roman" w:hAnsi="Times New Roman"/>
        </w:rPr>
        <w:t xml:space="preserve">year payback with the life expectancy of the sewer improvements </w:t>
      </w:r>
      <w:r w:rsidR="00530D50">
        <w:rPr>
          <w:rFonts w:ascii="Times New Roman" w:hAnsi="Times New Roman"/>
        </w:rPr>
        <w:t>at</w:t>
      </w:r>
      <w:r w:rsidR="00F06517" w:rsidRPr="00E07893">
        <w:rPr>
          <w:rFonts w:ascii="Times New Roman" w:hAnsi="Times New Roman"/>
        </w:rPr>
        <w:t xml:space="preserve"> 70 plus years.</w:t>
      </w:r>
    </w:p>
    <w:sectPr w:rsidR="00C87569" w:rsidRPr="00E07893" w:rsidSect="007F3CF6">
      <w:headerReference w:type="first" r:id="rId7"/>
      <w:footerReference w:type="first" r:id="rId8"/>
      <w:pgSz w:w="12240" w:h="15840" w:code="1"/>
      <w:pgMar w:top="1570" w:right="1800" w:bottom="1440" w:left="1152" w:header="720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87" w:rsidRDefault="00164087">
      <w:r>
        <w:separator/>
      </w:r>
    </w:p>
  </w:endnote>
  <w:endnote w:type="continuationSeparator" w:id="0">
    <w:p w:rsidR="00164087" w:rsidRDefault="0016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10" w:type="dxa"/>
      <w:tblInd w:w="-342" w:type="dxa"/>
      <w:tblLayout w:type="fixed"/>
      <w:tblLook w:val="0000"/>
    </w:tblPr>
    <w:tblGrid>
      <w:gridCol w:w="2700"/>
      <w:gridCol w:w="6030"/>
      <w:gridCol w:w="2880"/>
    </w:tblGrid>
    <w:tr w:rsidR="00164087">
      <w:trPr>
        <w:cantSplit/>
        <w:trHeight w:val="386"/>
      </w:trPr>
      <w:tc>
        <w:tcPr>
          <w:tcW w:w="2700" w:type="dxa"/>
          <w:vAlign w:val="bottom"/>
        </w:tcPr>
        <w:p w:rsidR="00164087" w:rsidRDefault="00164087">
          <w:pPr>
            <w:pStyle w:val="Footer"/>
            <w:rPr>
              <w:i/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9692640</wp:posOffset>
                </wp:positionV>
                <wp:extent cx="146050" cy="142240"/>
                <wp:effectExtent l="19050" t="0" r="6350" b="0"/>
                <wp:wrapNone/>
                <wp:docPr id="2" name="Picture 1" descr="Made from recyc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de from recyc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i/>
              <w:color w:val="000000"/>
              <w:sz w:val="16"/>
            </w:rPr>
            <w:t xml:space="preserve">  Recycled Paper</w:t>
          </w:r>
        </w:p>
      </w:tc>
      <w:tc>
        <w:tcPr>
          <w:tcW w:w="6030" w:type="dxa"/>
          <w:vAlign w:val="bottom"/>
        </w:tcPr>
        <w:p w:rsidR="00164087" w:rsidRDefault="00164087">
          <w:pPr>
            <w:pStyle w:val="Footer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Phone:  (888) 290-0016   Fax:  (317) 234-1338</w:t>
          </w:r>
        </w:p>
      </w:tc>
      <w:tc>
        <w:tcPr>
          <w:tcW w:w="2880" w:type="dxa"/>
          <w:vAlign w:val="bottom"/>
        </w:tcPr>
        <w:p w:rsidR="00164087" w:rsidRDefault="00164087">
          <w:pPr>
            <w:pStyle w:val="Footer"/>
            <w:jc w:val="center"/>
            <w:rPr>
              <w:i/>
              <w:color w:val="000000"/>
              <w:sz w:val="16"/>
            </w:rPr>
          </w:pPr>
          <w:r>
            <w:rPr>
              <w:i/>
              <w:color w:val="000000"/>
              <w:sz w:val="16"/>
            </w:rPr>
            <w:t xml:space="preserve">Please Recycle </w:t>
          </w:r>
        </w:p>
      </w:tc>
    </w:tr>
  </w:tbl>
  <w:p w:rsidR="00164087" w:rsidRDefault="0016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87" w:rsidRDefault="00164087">
      <w:r>
        <w:separator/>
      </w:r>
    </w:p>
  </w:footnote>
  <w:footnote w:type="continuationSeparator" w:id="0">
    <w:p w:rsidR="00164087" w:rsidRDefault="0016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108" w:type="dxa"/>
      <w:tblLayout w:type="fixed"/>
      <w:tblLook w:val="0000"/>
    </w:tblPr>
    <w:tblGrid>
      <w:gridCol w:w="2970"/>
      <w:gridCol w:w="7020"/>
    </w:tblGrid>
    <w:tr w:rsidR="00164087" w:rsidTr="00D63432">
      <w:trPr>
        <w:cantSplit/>
        <w:trHeight w:val="360"/>
      </w:trPr>
      <w:tc>
        <w:tcPr>
          <w:tcW w:w="2970" w:type="dxa"/>
          <w:vMerge w:val="restart"/>
        </w:tcPr>
        <w:p w:rsidR="00164087" w:rsidRPr="002153DA" w:rsidRDefault="00164087" w:rsidP="002153DA">
          <w:pPr>
            <w:pStyle w:val="Head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81075" cy="1057275"/>
                <wp:effectExtent l="19050" t="0" r="9525" b="0"/>
                <wp:docPr id="1" name="Picture 1" descr="IFA_Env_Prog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_Env_Prog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164087" w:rsidRPr="00003D9D" w:rsidRDefault="00164087" w:rsidP="00494951">
          <w:pPr>
            <w:pStyle w:val="Header"/>
            <w:ind w:left="-108"/>
            <w:jc w:val="right"/>
            <w:rPr>
              <w:rFonts w:ascii="AvantGarde" w:hAnsi="AvantGarde"/>
              <w:color w:val="000000"/>
              <w:sz w:val="30"/>
              <w:szCs w:val="30"/>
              <w:u w:val="single"/>
            </w:rPr>
          </w:pPr>
          <w:r w:rsidRPr="00003D9D">
            <w:rPr>
              <w:rFonts w:ascii="AvantGarde" w:hAnsi="AvantGarde"/>
              <w:color w:val="000000"/>
              <w:spacing w:val="13"/>
              <w:sz w:val="30"/>
              <w:szCs w:val="30"/>
              <w:u w:val="single"/>
            </w:rPr>
            <w:t>State Revolving Fund Loan Program</w:t>
          </w:r>
        </w:p>
      </w:tc>
    </w:tr>
    <w:tr w:rsidR="00164087" w:rsidRPr="00D63432" w:rsidTr="002153DA">
      <w:trPr>
        <w:cantSplit/>
        <w:trHeight w:val="267"/>
      </w:trPr>
      <w:tc>
        <w:tcPr>
          <w:tcW w:w="2970" w:type="dxa"/>
          <w:vMerge/>
        </w:tcPr>
        <w:p w:rsidR="00164087" w:rsidRDefault="00164087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164087" w:rsidRPr="00177653" w:rsidRDefault="00164087" w:rsidP="00177653">
          <w:pPr>
            <w:pStyle w:val="Header"/>
            <w:jc w:val="center"/>
            <w:rPr>
              <w:rFonts w:ascii="AvantGarde" w:hAnsi="AvantGarde"/>
              <w:b/>
              <w:color w:val="000000"/>
              <w:sz w:val="16"/>
              <w:szCs w:val="16"/>
            </w:rPr>
          </w:pPr>
          <w:r w:rsidRPr="00177653">
            <w:rPr>
              <w:rFonts w:ascii="AvantGarde" w:hAnsi="AvantGarde"/>
              <w:b/>
              <w:color w:val="000000"/>
              <w:sz w:val="16"/>
              <w:szCs w:val="24"/>
            </w:rPr>
            <w:t xml:space="preserve">                                                           </w:t>
          </w:r>
          <w:r w:rsidRPr="00177653">
            <w:rPr>
              <w:rFonts w:ascii="AvantGarde" w:hAnsi="AvantGarde"/>
              <w:b/>
              <w:color w:val="000000"/>
              <w:sz w:val="16"/>
              <w:szCs w:val="16"/>
            </w:rPr>
            <w:t>an Indiana Finance Authority Environmental Program</w:t>
          </w:r>
        </w:p>
      </w:tc>
    </w:tr>
    <w:tr w:rsidR="00164087" w:rsidTr="001023D1">
      <w:trPr>
        <w:cantSplit/>
        <w:trHeight w:val="144"/>
      </w:trPr>
      <w:tc>
        <w:tcPr>
          <w:tcW w:w="2970" w:type="dxa"/>
          <w:vMerge/>
        </w:tcPr>
        <w:p w:rsidR="00164087" w:rsidRDefault="00164087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164087" w:rsidRDefault="00164087">
          <w:pPr>
            <w:jc w:val="right"/>
            <w:rPr>
              <w:rFonts w:ascii="Arial" w:hAnsi="Arial"/>
              <w:color w:val="000000"/>
              <w:sz w:val="14"/>
            </w:rPr>
          </w:pPr>
        </w:p>
      </w:tc>
    </w:tr>
    <w:tr w:rsidR="00164087" w:rsidTr="00C42739">
      <w:trPr>
        <w:cantSplit/>
        <w:trHeight w:val="216"/>
      </w:trPr>
      <w:tc>
        <w:tcPr>
          <w:tcW w:w="2970" w:type="dxa"/>
          <w:vMerge/>
        </w:tcPr>
        <w:p w:rsidR="00164087" w:rsidRDefault="00164087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164087" w:rsidRPr="00253C03" w:rsidRDefault="00164087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>100 North Senate Avenue, Room 1275</w:t>
          </w:r>
        </w:p>
      </w:tc>
    </w:tr>
    <w:tr w:rsidR="00164087" w:rsidTr="00C42739">
      <w:trPr>
        <w:cantSplit/>
        <w:trHeight w:val="216"/>
      </w:trPr>
      <w:tc>
        <w:tcPr>
          <w:tcW w:w="2970" w:type="dxa"/>
          <w:vMerge/>
        </w:tcPr>
        <w:p w:rsidR="00164087" w:rsidRDefault="00164087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164087" w:rsidRPr="00253C03" w:rsidRDefault="00164087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 xml:space="preserve">Indianapolis, Indiana 46204 </w:t>
          </w:r>
        </w:p>
      </w:tc>
    </w:tr>
    <w:tr w:rsidR="00164087" w:rsidTr="00706A69">
      <w:trPr>
        <w:cantSplit/>
        <w:trHeight w:val="181"/>
      </w:trPr>
      <w:tc>
        <w:tcPr>
          <w:tcW w:w="2970" w:type="dxa"/>
          <w:vMerge/>
        </w:tcPr>
        <w:p w:rsidR="00164087" w:rsidRDefault="00164087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164087" w:rsidRPr="00253C03" w:rsidRDefault="00164087" w:rsidP="00706A69">
          <w:pPr>
            <w:pStyle w:val="Header"/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r>
            <w:rPr>
              <w:rFonts w:ascii="AvantGarde" w:hAnsi="AvantGarde" w:cs="Arial"/>
              <w:sz w:val="16"/>
              <w:szCs w:val="16"/>
            </w:rPr>
            <w:t>www.srf.in.gov</w:t>
          </w:r>
        </w:p>
      </w:tc>
    </w:tr>
  </w:tbl>
  <w:p w:rsidR="00164087" w:rsidRDefault="00164087" w:rsidP="003A2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CA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C00AD"/>
    <w:multiLevelType w:val="hybridMultilevel"/>
    <w:tmpl w:val="F10E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AA7"/>
    <w:multiLevelType w:val="hybridMultilevel"/>
    <w:tmpl w:val="80E0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59D2"/>
    <w:rsid w:val="00003D9D"/>
    <w:rsid w:val="00010BA1"/>
    <w:rsid w:val="0002123B"/>
    <w:rsid w:val="000317F3"/>
    <w:rsid w:val="0003195A"/>
    <w:rsid w:val="00032DF8"/>
    <w:rsid w:val="000420AC"/>
    <w:rsid w:val="00054F8D"/>
    <w:rsid w:val="000616A3"/>
    <w:rsid w:val="00062C1C"/>
    <w:rsid w:val="0009027B"/>
    <w:rsid w:val="000A3D86"/>
    <w:rsid w:val="000D3B63"/>
    <w:rsid w:val="000D7B4F"/>
    <w:rsid w:val="000F3225"/>
    <w:rsid w:val="001023D1"/>
    <w:rsid w:val="0013234B"/>
    <w:rsid w:val="00134AB1"/>
    <w:rsid w:val="00164087"/>
    <w:rsid w:val="0016721E"/>
    <w:rsid w:val="00177653"/>
    <w:rsid w:val="00195C20"/>
    <w:rsid w:val="001B6606"/>
    <w:rsid w:val="001D4455"/>
    <w:rsid w:val="001E3D37"/>
    <w:rsid w:val="001F09FC"/>
    <w:rsid w:val="001F28BA"/>
    <w:rsid w:val="001F33C2"/>
    <w:rsid w:val="001F563C"/>
    <w:rsid w:val="002153DA"/>
    <w:rsid w:val="00231F04"/>
    <w:rsid w:val="002367AD"/>
    <w:rsid w:val="00247D01"/>
    <w:rsid w:val="00253C03"/>
    <w:rsid w:val="00287E9B"/>
    <w:rsid w:val="00300948"/>
    <w:rsid w:val="003048D6"/>
    <w:rsid w:val="00327D48"/>
    <w:rsid w:val="003503B7"/>
    <w:rsid w:val="003601CF"/>
    <w:rsid w:val="003802E7"/>
    <w:rsid w:val="003A0150"/>
    <w:rsid w:val="003A2ABA"/>
    <w:rsid w:val="0040449C"/>
    <w:rsid w:val="0042148F"/>
    <w:rsid w:val="00432CDE"/>
    <w:rsid w:val="004419EB"/>
    <w:rsid w:val="00443325"/>
    <w:rsid w:val="00445ADD"/>
    <w:rsid w:val="00466C8C"/>
    <w:rsid w:val="00472550"/>
    <w:rsid w:val="004855BA"/>
    <w:rsid w:val="00490CF6"/>
    <w:rsid w:val="00492353"/>
    <w:rsid w:val="00492FF7"/>
    <w:rsid w:val="004943CC"/>
    <w:rsid w:val="00494951"/>
    <w:rsid w:val="004B2D72"/>
    <w:rsid w:val="004C7DA5"/>
    <w:rsid w:val="004D7CA6"/>
    <w:rsid w:val="00505B4F"/>
    <w:rsid w:val="00515762"/>
    <w:rsid w:val="005212BF"/>
    <w:rsid w:val="005248E9"/>
    <w:rsid w:val="00525F71"/>
    <w:rsid w:val="00530D50"/>
    <w:rsid w:val="00540B79"/>
    <w:rsid w:val="00556921"/>
    <w:rsid w:val="005A6C0C"/>
    <w:rsid w:val="005C2DD1"/>
    <w:rsid w:val="005D3564"/>
    <w:rsid w:val="005E0528"/>
    <w:rsid w:val="00616613"/>
    <w:rsid w:val="006369D7"/>
    <w:rsid w:val="0064049D"/>
    <w:rsid w:val="00675F1F"/>
    <w:rsid w:val="006A35EB"/>
    <w:rsid w:val="006C354D"/>
    <w:rsid w:val="006C5FEE"/>
    <w:rsid w:val="006D65AA"/>
    <w:rsid w:val="006E5CA6"/>
    <w:rsid w:val="006F1531"/>
    <w:rsid w:val="007023E7"/>
    <w:rsid w:val="00706A69"/>
    <w:rsid w:val="00724FC6"/>
    <w:rsid w:val="00784C3E"/>
    <w:rsid w:val="007A29B9"/>
    <w:rsid w:val="007A5CEC"/>
    <w:rsid w:val="007D074F"/>
    <w:rsid w:val="007F3CF6"/>
    <w:rsid w:val="00853672"/>
    <w:rsid w:val="0087617C"/>
    <w:rsid w:val="00884CA9"/>
    <w:rsid w:val="00891D1F"/>
    <w:rsid w:val="0089772E"/>
    <w:rsid w:val="008A7348"/>
    <w:rsid w:val="008B2403"/>
    <w:rsid w:val="008D3409"/>
    <w:rsid w:val="008E359A"/>
    <w:rsid w:val="00921970"/>
    <w:rsid w:val="009307FC"/>
    <w:rsid w:val="00934A4D"/>
    <w:rsid w:val="0093786C"/>
    <w:rsid w:val="00943AAC"/>
    <w:rsid w:val="00955B10"/>
    <w:rsid w:val="009570CE"/>
    <w:rsid w:val="00957BCD"/>
    <w:rsid w:val="00964392"/>
    <w:rsid w:val="00975CDA"/>
    <w:rsid w:val="00976F13"/>
    <w:rsid w:val="009966B2"/>
    <w:rsid w:val="00997ACC"/>
    <w:rsid w:val="009F3432"/>
    <w:rsid w:val="00A2118A"/>
    <w:rsid w:val="00A21CFA"/>
    <w:rsid w:val="00A36648"/>
    <w:rsid w:val="00A37B43"/>
    <w:rsid w:val="00A67F0F"/>
    <w:rsid w:val="00A759D2"/>
    <w:rsid w:val="00AA2CD4"/>
    <w:rsid w:val="00AC0D0F"/>
    <w:rsid w:val="00AC63B4"/>
    <w:rsid w:val="00AD58C4"/>
    <w:rsid w:val="00AD726D"/>
    <w:rsid w:val="00AF715F"/>
    <w:rsid w:val="00B10D02"/>
    <w:rsid w:val="00B75DCD"/>
    <w:rsid w:val="00B77E3F"/>
    <w:rsid w:val="00BA25C5"/>
    <w:rsid w:val="00BB01C9"/>
    <w:rsid w:val="00BD02C3"/>
    <w:rsid w:val="00BE37A9"/>
    <w:rsid w:val="00BE798F"/>
    <w:rsid w:val="00C15DE2"/>
    <w:rsid w:val="00C278AF"/>
    <w:rsid w:val="00C33C1C"/>
    <w:rsid w:val="00C37A8A"/>
    <w:rsid w:val="00C42739"/>
    <w:rsid w:val="00C462A2"/>
    <w:rsid w:val="00C57CE4"/>
    <w:rsid w:val="00C6333B"/>
    <w:rsid w:val="00C646EB"/>
    <w:rsid w:val="00C87569"/>
    <w:rsid w:val="00C94E92"/>
    <w:rsid w:val="00CA04A5"/>
    <w:rsid w:val="00CA32DA"/>
    <w:rsid w:val="00CB6D0A"/>
    <w:rsid w:val="00CC20D3"/>
    <w:rsid w:val="00CC4ED3"/>
    <w:rsid w:val="00CF2462"/>
    <w:rsid w:val="00D129A0"/>
    <w:rsid w:val="00D17148"/>
    <w:rsid w:val="00D27AB2"/>
    <w:rsid w:val="00D32560"/>
    <w:rsid w:val="00D63432"/>
    <w:rsid w:val="00D7738F"/>
    <w:rsid w:val="00DB33AF"/>
    <w:rsid w:val="00DE44F3"/>
    <w:rsid w:val="00DF0D3A"/>
    <w:rsid w:val="00E07893"/>
    <w:rsid w:val="00E144B6"/>
    <w:rsid w:val="00E41D53"/>
    <w:rsid w:val="00E646F0"/>
    <w:rsid w:val="00EC6908"/>
    <w:rsid w:val="00F0125B"/>
    <w:rsid w:val="00F0489A"/>
    <w:rsid w:val="00F06517"/>
    <w:rsid w:val="00F13AED"/>
    <w:rsid w:val="00F14367"/>
    <w:rsid w:val="00F31F9E"/>
    <w:rsid w:val="00F83F4A"/>
    <w:rsid w:val="00F862B5"/>
    <w:rsid w:val="00F97C81"/>
    <w:rsid w:val="00FA24C9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34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8A7348"/>
    <w:pPr>
      <w:numPr>
        <w:numId w:val="1"/>
      </w:numPr>
    </w:pPr>
  </w:style>
  <w:style w:type="paragraph" w:styleId="BodyText">
    <w:name w:val="Body Text"/>
    <w:basedOn w:val="Normal"/>
    <w:link w:val="BodyTextChar"/>
    <w:rsid w:val="008A7348"/>
    <w:rPr>
      <w:rFonts w:ascii="AvantGarde" w:hAnsi="AvantGarde"/>
      <w:color w:val="000000"/>
      <w:sz w:val="24"/>
    </w:rPr>
  </w:style>
  <w:style w:type="character" w:styleId="Hyperlink">
    <w:name w:val="Hyperlink"/>
    <w:basedOn w:val="DefaultParagraphFont"/>
    <w:rsid w:val="005E05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14367"/>
  </w:style>
  <w:style w:type="character" w:customStyle="1" w:styleId="BodyTextChar">
    <w:name w:val="Body Text Char"/>
    <w:basedOn w:val="DefaultParagraphFont"/>
    <w:link w:val="BodyText"/>
    <w:rsid w:val="00F14367"/>
    <w:rPr>
      <w:rFonts w:ascii="AvantGarde" w:hAnsi="AvantGar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34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8A7348"/>
    <w:pPr>
      <w:numPr>
        <w:numId w:val="1"/>
      </w:numPr>
    </w:pPr>
  </w:style>
  <w:style w:type="paragraph" w:styleId="BodyText">
    <w:name w:val="Body Text"/>
    <w:basedOn w:val="Normal"/>
    <w:link w:val="BodyTextChar"/>
    <w:rsid w:val="008A7348"/>
    <w:rPr>
      <w:rFonts w:ascii="AvantGarde" w:hAnsi="AvantGarde"/>
      <w:color w:val="000000"/>
      <w:sz w:val="24"/>
    </w:rPr>
  </w:style>
  <w:style w:type="character" w:styleId="Hyperlink">
    <w:name w:val="Hyperlink"/>
    <w:basedOn w:val="DefaultParagraphFont"/>
    <w:rsid w:val="005E05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14367"/>
  </w:style>
  <w:style w:type="character" w:customStyle="1" w:styleId="BodyTextChar">
    <w:name w:val="Body Text Char"/>
    <w:basedOn w:val="DefaultParagraphFont"/>
    <w:link w:val="BodyText"/>
    <w:rsid w:val="00F14367"/>
    <w:rPr>
      <w:rFonts w:ascii="AvantGarde" w:hAnsi="AvantGar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RF%20Forms\SRF%20Letterhead\Jack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Jack's letterhead.dot</Template>
  <TotalTime>8</TotalTime>
  <Pages>1</Pages>
  <Words>309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2004</vt:lpstr>
    </vt:vector>
  </TitlesOfParts>
  <Company>IDEM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2004</dc:title>
  <dc:subject/>
  <dc:creator>USER</dc:creator>
  <cp:keywords/>
  <cp:lastModifiedBy>jafisher</cp:lastModifiedBy>
  <cp:revision>4</cp:revision>
  <cp:lastPrinted>2011-09-22T17:32:00Z</cp:lastPrinted>
  <dcterms:created xsi:type="dcterms:W3CDTF">2012-08-06T20:21:00Z</dcterms:created>
  <dcterms:modified xsi:type="dcterms:W3CDTF">2012-08-23T15:19:00Z</dcterms:modified>
</cp:coreProperties>
</file>