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00" w:rsidP="00BD7B26" w:rsidRDefault="00A76600" w14:paraId="3515C673" w14:textId="77777777">
      <w:pPr>
        <w:ind w:left="720" w:hanging="720"/>
        <w:jc w:val="left"/>
        <w:rPr>
          <w:b/>
          <w:bCs/>
        </w:rPr>
      </w:pPr>
      <w:r>
        <w:rPr>
          <w:b/>
          <w:bCs/>
        </w:rPr>
        <w:t>TITLE 170 INDIANA UTILITY REGULATORY COMMISSION</w:t>
      </w:r>
    </w:p>
    <w:p w:rsidR="00A76600" w:rsidP="00BD7B26" w:rsidRDefault="00A76600" w14:paraId="1F6AF1F0" w14:textId="77777777">
      <w:pPr>
        <w:ind w:left="720" w:hanging="720"/>
        <w:jc w:val="left"/>
        <w:rPr>
          <w:b/>
          <w:bCs/>
        </w:rPr>
      </w:pPr>
    </w:p>
    <w:p w:rsidRPr="00DF4532" w:rsidR="00A76600" w:rsidP="00BD7B26" w:rsidRDefault="00A76600" w14:paraId="64D03497" w14:textId="77777777">
      <w:pPr>
        <w:ind w:left="720" w:hanging="720"/>
        <w:jc w:val="center"/>
        <w:rPr>
          <w:b/>
          <w:bCs/>
          <w:u w:val="single"/>
        </w:rPr>
      </w:pPr>
      <w:r>
        <w:rPr>
          <w:b/>
          <w:bCs/>
          <w:u w:val="single"/>
        </w:rPr>
        <w:t>COST-BENEFIT</w:t>
      </w:r>
      <w:r w:rsidRPr="00DF4532">
        <w:rPr>
          <w:b/>
          <w:bCs/>
          <w:u w:val="single"/>
        </w:rPr>
        <w:t xml:space="preserve"> </w:t>
      </w:r>
      <w:r>
        <w:rPr>
          <w:b/>
          <w:bCs/>
          <w:u w:val="single"/>
        </w:rPr>
        <w:t>ANALYSIS</w:t>
      </w:r>
    </w:p>
    <w:p w:rsidRPr="00602270" w:rsidR="00A76600" w:rsidP="28D84632" w:rsidRDefault="00A76600" w14:paraId="227E6BBC" w14:textId="1414E6A1">
      <w:pPr>
        <w:ind w:left="720" w:hanging="720"/>
        <w:jc w:val="center"/>
        <w:rPr>
          <w:b w:val="1"/>
          <w:bCs w:val="1"/>
        </w:rPr>
      </w:pPr>
      <w:r w:rsidRPr="28D84632" w:rsidR="28D84632">
        <w:rPr>
          <w:b w:val="1"/>
          <w:bCs w:val="1"/>
        </w:rPr>
        <w:t>LSA Document #</w:t>
      </w:r>
      <w:r w:rsidRPr="28D84632" w:rsidR="28D84632">
        <w:rPr>
          <w:b w:val="1"/>
          <w:bCs w:val="1"/>
        </w:rPr>
        <w:t>19-378</w:t>
      </w:r>
    </w:p>
    <w:p w:rsidRPr="00602270" w:rsidR="00A76600" w:rsidP="00BD7B26" w:rsidRDefault="00A76600" w14:paraId="66F7CDD5" w14:textId="77777777">
      <w:pPr>
        <w:ind w:left="720" w:hanging="720"/>
        <w:jc w:val="left"/>
        <w:rPr>
          <w:b/>
          <w:bCs/>
        </w:rPr>
      </w:pPr>
    </w:p>
    <w:p w:rsidRPr="00602270" w:rsidR="00BA5AF1" w:rsidP="00BD7B26" w:rsidRDefault="000F0D2F" w14:paraId="4BA0499B" w14:textId="77777777">
      <w:pPr>
        <w:pStyle w:val="Heading2"/>
        <w:jc w:val="left"/>
      </w:pPr>
      <w:r w:rsidRPr="00602270">
        <w:t>I.</w:t>
      </w:r>
      <w:r w:rsidRPr="00602270">
        <w:tab/>
      </w:r>
      <w:r w:rsidRPr="00602270" w:rsidR="00BA5AF1">
        <w:t>Statement of Need</w:t>
      </w:r>
      <w:r w:rsidRPr="00602270" w:rsidR="00597A82">
        <w:t>.</w:t>
      </w:r>
    </w:p>
    <w:p w:rsidRPr="00602270" w:rsidR="00952128" w:rsidP="00BD7B26" w:rsidRDefault="00952128" w14:paraId="5F34A85B" w14:textId="77777777">
      <w:pPr>
        <w:pStyle w:val="Heading3"/>
        <w:jc w:val="left"/>
      </w:pPr>
      <w:r w:rsidRPr="00602270">
        <w:t>Intention of rule.</w:t>
      </w:r>
    </w:p>
    <w:p w:rsidR="00AE044A" w:rsidP="00BD7B26" w:rsidRDefault="00952128" w14:paraId="022B9E3A" w14:textId="05059D99">
      <w:pPr>
        <w:ind w:left="1440"/>
        <w:jc w:val="left"/>
      </w:pPr>
      <w:r w:rsidRPr="00602270">
        <w:t xml:space="preserve">This rule is intended to </w:t>
      </w:r>
      <w:r w:rsidRPr="00602270">
        <w:t xml:space="preserve">do the following: </w:t>
      </w:r>
      <w:r w:rsidR="001312F4">
        <w:t>Save costs by moving to an electronic filing system, reduce regulatory burden and impact, and s</w:t>
      </w:r>
      <w:r w:rsidRPr="00602270" w:rsidR="00AE044A">
        <w:t>erve a public need</w:t>
      </w:r>
      <w:r w:rsidR="001312F4">
        <w:t xml:space="preserve"> by</w:t>
      </w:r>
      <w:r w:rsidRPr="00602270" w:rsidR="00AE044A">
        <w:t xml:space="preserve"> improving government processes.</w:t>
      </w:r>
      <w:r w:rsidR="002A21E6">
        <w:t xml:space="preserve"> </w:t>
      </w:r>
    </w:p>
    <w:p w:rsidRPr="00377E76" w:rsidR="00952128" w:rsidP="00BD7B26" w:rsidRDefault="00952128" w14:paraId="5E61D183" w14:textId="77777777">
      <w:pPr>
        <w:pStyle w:val="Heading3"/>
        <w:jc w:val="left"/>
      </w:pPr>
      <w:r>
        <w:t>Estimated number affected.</w:t>
      </w:r>
    </w:p>
    <w:p w:rsidR="00952128" w:rsidP="00BD7B26" w:rsidRDefault="00952128" w14:paraId="69AF8281" w14:textId="76F08A3C">
      <w:pPr>
        <w:ind w:left="1440"/>
        <w:jc w:val="left"/>
      </w:pPr>
      <w:r>
        <w:t xml:space="preserve">The </w:t>
      </w:r>
      <w:r w:rsidR="001312F4">
        <w:t xml:space="preserve">Indiana Utility Regulatory </w:t>
      </w:r>
      <w:r>
        <w:t xml:space="preserve">Commission </w:t>
      </w:r>
      <w:r w:rsidR="001312F4">
        <w:t xml:space="preserve">(“Commission”) </w:t>
      </w:r>
      <w:r>
        <w:t>estimates the following will be affected by the rule:</w:t>
      </w:r>
    </w:p>
    <w:p w:rsidR="00602270" w:rsidP="00BD7B26" w:rsidRDefault="00952128" w14:paraId="0D2E7FA2" w14:textId="776EF331">
      <w:pPr>
        <w:tabs>
          <w:tab w:val="left" w:pos="2160"/>
        </w:tabs>
        <w:ind w:left="3600" w:hanging="2160"/>
        <w:jc w:val="left"/>
      </w:pPr>
      <w:r>
        <w:t>1.</w:t>
      </w:r>
      <w:r>
        <w:tab/>
      </w:r>
      <w:r>
        <w:t>Individuals:</w:t>
      </w:r>
      <w:r w:rsidR="002A21E6">
        <w:t xml:space="preserve"> </w:t>
      </w:r>
      <w:r w:rsidR="00602270">
        <w:tab/>
      </w:r>
      <w:r w:rsidR="00602270">
        <w:t xml:space="preserve">Any </w:t>
      </w:r>
      <w:r w:rsidR="00F617A4">
        <w:t xml:space="preserve">individual </w:t>
      </w:r>
      <w:r w:rsidR="00602270">
        <w:t>that practice</w:t>
      </w:r>
      <w:r w:rsidR="00F617A4">
        <w:t>s</w:t>
      </w:r>
      <w:r w:rsidR="00602270">
        <w:t xml:space="preserve"> law or otherwise represent</w:t>
      </w:r>
      <w:r w:rsidR="00F617A4">
        <w:t>s</w:t>
      </w:r>
      <w:r w:rsidR="00602270">
        <w:t xml:space="preserve"> parties in matters that </w:t>
      </w:r>
      <w:r w:rsidR="00F617A4">
        <w:t xml:space="preserve">are </w:t>
      </w:r>
      <w:r w:rsidR="00602270">
        <w:t>before the Commission.</w:t>
      </w:r>
    </w:p>
    <w:p w:rsidR="00602270" w:rsidP="00BD7B26" w:rsidRDefault="00602270" w14:paraId="4BE32B7D" w14:textId="77777777">
      <w:pPr>
        <w:tabs>
          <w:tab w:val="left" w:pos="2160"/>
        </w:tabs>
        <w:ind w:left="3600" w:hanging="2160"/>
        <w:jc w:val="left"/>
      </w:pPr>
    </w:p>
    <w:p w:rsidR="00952128" w:rsidP="00BD7B26" w:rsidRDefault="00952128" w14:paraId="650838BE" w14:textId="5825E1EE">
      <w:pPr>
        <w:tabs>
          <w:tab w:val="left" w:pos="2160"/>
        </w:tabs>
        <w:ind w:left="3600" w:hanging="2160"/>
        <w:jc w:val="left"/>
      </w:pPr>
      <w:r>
        <w:t>2.</w:t>
      </w:r>
      <w:r>
        <w:tab/>
      </w:r>
      <w:r>
        <w:t>Businesses:</w:t>
      </w:r>
      <w:r w:rsidR="002A21E6">
        <w:t xml:space="preserve"> </w:t>
      </w:r>
      <w:r w:rsidR="00F617A4">
        <w:tab/>
      </w:r>
      <w:r w:rsidR="00602270">
        <w:t xml:space="preserve">Any law </w:t>
      </w:r>
      <w:r w:rsidR="00602270">
        <w:t xml:space="preserve">firm </w:t>
      </w:r>
      <w:r w:rsidR="001312F4">
        <w:t>that represents parties in matters before the Commission, and any</w:t>
      </w:r>
      <w:r w:rsidR="00602270">
        <w:t xml:space="preserve"> utility regulated by the Commission.</w:t>
      </w:r>
    </w:p>
    <w:p w:rsidR="00952128" w:rsidP="00BD7B26" w:rsidRDefault="00952128" w14:paraId="0775C52B" w14:textId="77777777">
      <w:pPr>
        <w:pStyle w:val="Heading3"/>
        <w:jc w:val="left"/>
      </w:pPr>
      <w:r>
        <w:t>Policy or goal of rule.</w:t>
      </w:r>
    </w:p>
    <w:p w:rsidR="00C80013" w:rsidP="00BD7B26" w:rsidRDefault="00C80013" w14:paraId="4C19A490" w14:textId="724CBFEB">
      <w:pPr>
        <w:ind w:left="1440"/>
        <w:jc w:val="left"/>
      </w:pPr>
      <w:r w:rsidRPr="00884B0F">
        <w:t xml:space="preserve">The </w:t>
      </w:r>
      <w:r>
        <w:t>Commission</w:t>
      </w:r>
      <w:r w:rsidRPr="00884B0F">
        <w:t xml:space="preserve"> changed to an upgraded </w:t>
      </w:r>
      <w:r>
        <w:t>electronic</w:t>
      </w:r>
      <w:r w:rsidRPr="00884B0F">
        <w:t xml:space="preserve"> filing system </w:t>
      </w:r>
      <w:r>
        <w:t>(</w:t>
      </w:r>
      <w:r w:rsidR="00AA7CD7">
        <w:t>“</w:t>
      </w:r>
      <w:r>
        <w:t>EFS</w:t>
      </w:r>
      <w:r w:rsidR="00AA7CD7">
        <w:t>”</w:t>
      </w:r>
      <w:r>
        <w:t xml:space="preserve">) at the end of 2016, </w:t>
      </w:r>
      <w:r w:rsidRPr="00884B0F">
        <w:t xml:space="preserve">and certain procedural rules need to be updated to match the new system. </w:t>
      </w:r>
      <w:r>
        <w:t xml:space="preserve">The result is streamlined filing that saves resources associated with printing and delivery costs and </w:t>
      </w:r>
      <w:r w:rsidR="00F617A4">
        <w:t xml:space="preserve">that </w:t>
      </w:r>
      <w:r>
        <w:t>reduce</w:t>
      </w:r>
      <w:r w:rsidR="00F617A4">
        <w:t>s</w:t>
      </w:r>
      <w:r>
        <w:t xml:space="preserve"> Commission staff.</w:t>
      </w:r>
      <w:r w:rsidR="002A21E6">
        <w:t xml:space="preserve"> </w:t>
      </w:r>
    </w:p>
    <w:p w:rsidR="00C80013" w:rsidP="00BD7B26" w:rsidRDefault="00C80013" w14:paraId="0ECB0D05" w14:textId="77777777">
      <w:pPr>
        <w:ind w:left="1440"/>
        <w:jc w:val="left"/>
      </w:pPr>
    </w:p>
    <w:p w:rsidR="00C80013" w:rsidP="00BD7B26" w:rsidRDefault="00C80013" w14:paraId="1EBF3117" w14:textId="77777777">
      <w:pPr>
        <w:ind w:left="1440"/>
        <w:jc w:val="left"/>
      </w:pPr>
      <w:r w:rsidRPr="00884B0F">
        <w:t xml:space="preserve">The </w:t>
      </w:r>
      <w:r>
        <w:t>Commission</w:t>
      </w:r>
      <w:r w:rsidRPr="00884B0F">
        <w:t xml:space="preserve"> also used the opportunity to clarify its ex parte rules and add </w:t>
      </w:r>
      <w:r>
        <w:t>an</w:t>
      </w:r>
      <w:r w:rsidRPr="00884B0F">
        <w:t xml:space="preserve"> exception that did not exist at the time the ex parte rules were originally drafted.</w:t>
      </w:r>
      <w:r>
        <w:t xml:space="preserve"> The result is clarity regarding when Commission staff can be used as a resource for utilities, resulting in reduced attorney, accountant, and other professional service fees for regulated utilities.</w:t>
      </w:r>
    </w:p>
    <w:p w:rsidRPr="00656A5F" w:rsidR="00952128" w:rsidP="00BD7B26" w:rsidRDefault="00656A5F" w14:paraId="27CB02A5" w14:textId="77777777">
      <w:pPr>
        <w:pStyle w:val="Heading4"/>
        <w:jc w:val="left"/>
      </w:pPr>
      <w:r>
        <w:t>Conduct the rule is designed to change.</w:t>
      </w:r>
    </w:p>
    <w:p w:rsidR="00AE044A" w:rsidP="00BD7B26" w:rsidRDefault="00602270" w14:paraId="32312BC4" w14:textId="0EA30D10">
      <w:pPr>
        <w:ind w:left="2160"/>
        <w:jc w:val="left"/>
      </w:pPr>
      <w:r>
        <w:t xml:space="preserve">This rule is intended to change the practice from paper </w:t>
      </w:r>
      <w:r w:rsidR="008131F0">
        <w:t>filing to electronic filing.</w:t>
      </w:r>
      <w:r w:rsidR="002A21E6">
        <w:t xml:space="preserve"> </w:t>
      </w:r>
      <w:r w:rsidR="008131F0">
        <w:t>The ex parte section of the rule is intended to change the practice of limiting interaction with Commission resources when appropriate.</w:t>
      </w:r>
    </w:p>
    <w:p w:rsidR="00656A5F" w:rsidP="00BD7B26" w:rsidRDefault="00656A5F" w14:paraId="2368BE0B" w14:textId="77777777">
      <w:pPr>
        <w:pStyle w:val="Heading4"/>
        <w:jc w:val="left"/>
      </w:pPr>
      <w:r>
        <w:t>Harm resulting from the conduct above.</w:t>
      </w:r>
    </w:p>
    <w:p w:rsidRPr="00C80013" w:rsidR="00C80013" w:rsidP="00BD7B26" w:rsidRDefault="00C80013" w14:paraId="044F7C8C" w14:textId="38AFE872">
      <w:pPr>
        <w:ind w:left="2160"/>
        <w:jc w:val="left"/>
      </w:pPr>
      <w:r>
        <w:t>The rule (1) requires online filing and (2) clarifies ex parte exclusions.</w:t>
      </w:r>
      <w:r w:rsidR="002A21E6">
        <w:t xml:space="preserve"> </w:t>
      </w:r>
      <w:r>
        <w:t>If there was not a rule change, some entities may choose to continue filing hard copies.</w:t>
      </w:r>
      <w:r w:rsidR="002A21E6">
        <w:t xml:space="preserve"> </w:t>
      </w:r>
      <w:r>
        <w:t>For reasons explained in more detail below, this would result in use of resources associated with printing and delivery of hard copy filings, and additional Commission time to scan and upload the filings into the EFS.</w:t>
      </w:r>
      <w:r w:rsidR="002A21E6">
        <w:t xml:space="preserve"> </w:t>
      </w:r>
      <w:r>
        <w:t xml:space="preserve">If the ex parte exclusions are not updated, regulated utilities may </w:t>
      </w:r>
      <w:r>
        <w:lastRenderedPageBreak/>
        <w:t>rely more on costly professional services rather than using the expertise provided by Commission staff.</w:t>
      </w:r>
      <w:r w:rsidR="002A21E6">
        <w:t xml:space="preserve"> </w:t>
      </w:r>
    </w:p>
    <w:p w:rsidR="00656A5F" w:rsidP="00BD7B26" w:rsidRDefault="00656A5F" w14:paraId="7869C473" w14:textId="77777777">
      <w:pPr>
        <w:pStyle w:val="Heading4"/>
        <w:jc w:val="left"/>
        <w:rPr>
          <w:rFonts w:cs="Times New Roman"/>
        </w:rPr>
      </w:pPr>
      <w:r w:rsidRPr="00A76600">
        <w:rPr>
          <w:rFonts w:cs="Times New Roman"/>
        </w:rPr>
        <w:t>Involvement of the regulated entities in rule development.</w:t>
      </w:r>
    </w:p>
    <w:p w:rsidR="00C80013" w:rsidP="00BD7B26" w:rsidRDefault="00C80013" w14:paraId="0CA25575" w14:textId="7245E9BD">
      <w:pPr>
        <w:ind w:left="2160"/>
        <w:jc w:val="left"/>
      </w:pPr>
      <w:r>
        <w:t xml:space="preserve">Commission staff </w:t>
      </w:r>
      <w:r w:rsidR="00FC56EB">
        <w:t xml:space="preserve">has </w:t>
      </w:r>
      <w:r>
        <w:t>involved regulated entities in the development not only of the rule but in the creation of the EFS behind the rule. Invitations for an initial meeting went to parties that had accounts in the current filing system, members of the Utility Section of the Indiana State Bar Association, and Commission staff affected by or working on the new EFS. Those participants were invited to join a listserv if they wanted to continue participation in the process. The listserv currently includes more than 50 participants.</w:t>
      </w:r>
    </w:p>
    <w:p w:rsidR="00C80013" w:rsidP="00BD7B26" w:rsidRDefault="00C80013" w14:paraId="4AB52FB6" w14:textId="77777777">
      <w:pPr>
        <w:ind w:left="2160"/>
        <w:jc w:val="left"/>
      </w:pPr>
    </w:p>
    <w:p w:rsidR="00C80013" w:rsidP="00BD7B26" w:rsidRDefault="00C80013" w14:paraId="23F43A87" w14:textId="77777777">
      <w:pPr>
        <w:ind w:left="2160"/>
        <w:jc w:val="left"/>
      </w:pPr>
      <w:r>
        <w:t xml:space="preserve">Initially, there was an open workshop in May 2015 explaining that the Commission is moving to a new EFS. Staff solicited proposed </w:t>
      </w:r>
      <w:r w:rsidRPr="00AB4BEE">
        <w:t>changes to the administrative rules and to the filing system.</w:t>
      </w:r>
      <w:r>
        <w:t xml:space="preserve"> A year later when the EFS was near completion, Commission staff held another workshop to review suggestions to date. A week later, Commission staff previewed the EFS with external administrative and IT staff.</w:t>
      </w:r>
    </w:p>
    <w:p w:rsidR="00C80013" w:rsidP="00BD7B26" w:rsidRDefault="00C80013" w14:paraId="6B76059D" w14:textId="77777777">
      <w:pPr>
        <w:ind w:left="2160"/>
        <w:jc w:val="left"/>
      </w:pPr>
    </w:p>
    <w:p w:rsidR="00C80013" w:rsidP="00BD7B26" w:rsidRDefault="00C80013" w14:paraId="29C23732" w14:textId="21C3C195">
      <w:pPr>
        <w:ind w:left="2160"/>
        <w:jc w:val="left"/>
      </w:pPr>
      <w:r>
        <w:t xml:space="preserve">A couple </w:t>
      </w:r>
      <w:r w:rsidR="005B4E0E">
        <w:t xml:space="preserve">of </w:t>
      </w:r>
      <w:r>
        <w:t>weeks before go-live, Commission Staff gave a presentation at the Fall Utility Bar about the new system and possible changes to the procedural rules. Participants and listserv members were asked to provide additional comments by October 31, 2016.</w:t>
      </w:r>
    </w:p>
    <w:p w:rsidR="00C80013" w:rsidP="00BD7B26" w:rsidRDefault="00C80013" w14:paraId="1ACC4704" w14:textId="77777777">
      <w:pPr>
        <w:ind w:left="2160"/>
        <w:jc w:val="left"/>
      </w:pPr>
    </w:p>
    <w:p w:rsidR="00C80013" w:rsidP="00BD7B26" w:rsidRDefault="00C80013" w14:paraId="29CD33BB" w14:textId="77777777">
      <w:pPr>
        <w:ind w:left="2160"/>
        <w:jc w:val="left"/>
      </w:pPr>
      <w:r>
        <w:t xml:space="preserve">Over the next year, Commission staff continued updating the EFS to address bugs, new procedures, and feedback from internal and external users. The </w:t>
      </w:r>
      <w:r>
        <w:rPr>
          <w:i/>
        </w:rPr>
        <w:t>Indiana Lawyer Update</w:t>
      </w:r>
      <w:r>
        <w:t xml:space="preserve"> published an article about mandatory </w:t>
      </w:r>
      <w:proofErr w:type="spellStart"/>
      <w:r>
        <w:t>efilings</w:t>
      </w:r>
      <w:proofErr w:type="spellEnd"/>
      <w:r>
        <w:t xml:space="preserve">, including the Commission. At their request, Citizens Action Coalition (“CAC”) met with Commission staff to discuss CAC’s requested changes to the procedural rule. The EFS was fine-tuned to address matters such as confidential filings and requests from Commission court reporting and administrative staff related to labeling and filing exhibits. </w:t>
      </w:r>
    </w:p>
    <w:p w:rsidR="00C80013" w:rsidP="00BD7B26" w:rsidRDefault="00C80013" w14:paraId="40464727" w14:textId="77777777">
      <w:pPr>
        <w:ind w:left="2160"/>
        <w:jc w:val="left"/>
      </w:pPr>
    </w:p>
    <w:p w:rsidR="00C80013" w:rsidP="00BD7B26" w:rsidRDefault="00C80013" w14:paraId="6324822D" w14:textId="77777777">
      <w:pPr>
        <w:ind w:left="2160"/>
        <w:jc w:val="left"/>
      </w:pPr>
      <w:r>
        <w:t>An updated draft rule was sent to the participant listserv in October 2018, requesting financial impact comments. The rule was further edite</w:t>
      </w:r>
      <w:r w:rsidR="00817492">
        <w:t>d in response to those comments, and this analysis includes the parties’ financial impact comments.</w:t>
      </w:r>
    </w:p>
    <w:p w:rsidRPr="00377E76" w:rsidR="00656A5F" w:rsidP="00BD7B26" w:rsidRDefault="00656A5F" w14:paraId="0AA2DE7A" w14:textId="77777777">
      <w:pPr>
        <w:pStyle w:val="Heading4"/>
        <w:jc w:val="left"/>
      </w:pPr>
      <w:r>
        <w:t>Commission methodology.</w:t>
      </w:r>
    </w:p>
    <w:p w:rsidR="008131F0" w:rsidP="00BD7B26" w:rsidRDefault="00817492" w14:paraId="5512A39E" w14:textId="5EFDC879">
      <w:pPr>
        <w:ind w:left="2160"/>
        <w:jc w:val="left"/>
      </w:pPr>
      <w:r>
        <w:t>Commission staff updated the procedural rules</w:t>
      </w:r>
      <w:r w:rsidR="008131F0">
        <w:t xml:space="preserve"> by</w:t>
      </w:r>
      <w:r>
        <w:t xml:space="preserve"> considering the functionality of the new EFS and </w:t>
      </w:r>
      <w:r w:rsidR="005B4E0E">
        <w:t xml:space="preserve">comments </w:t>
      </w:r>
      <w:r>
        <w:t>provided by internal and external participants.</w:t>
      </w:r>
      <w:r w:rsidR="002A21E6">
        <w:t xml:space="preserve"> </w:t>
      </w:r>
    </w:p>
    <w:p w:rsidR="008131F0" w:rsidP="00BD7B26" w:rsidRDefault="008131F0" w14:paraId="0CE8581D" w14:textId="77777777">
      <w:pPr>
        <w:ind w:left="2160"/>
        <w:jc w:val="left"/>
      </w:pPr>
    </w:p>
    <w:p w:rsidRPr="00377E76" w:rsidR="00817492" w:rsidP="00BD7B26" w:rsidRDefault="00817492" w14:paraId="253DB7E7" w14:textId="471BB47F">
      <w:pPr>
        <w:ind w:left="2160"/>
        <w:jc w:val="left"/>
      </w:pPr>
      <w:r>
        <w:t xml:space="preserve">Commission staff clarified the ex parte rules by including citations to specific Indiana code sections that were affected and </w:t>
      </w:r>
      <w:r w:rsidR="00111159">
        <w:t xml:space="preserve">added </w:t>
      </w:r>
      <w:r>
        <w:t xml:space="preserve">a section for </w:t>
      </w:r>
      <w:r>
        <w:lastRenderedPageBreak/>
        <w:t>integrated resource planning that was not previously included.</w:t>
      </w:r>
    </w:p>
    <w:p w:rsidR="00656A5F" w:rsidP="00BD7B26" w:rsidRDefault="000F0D2F" w14:paraId="5A0437CA" w14:textId="3B617AB6">
      <w:pPr>
        <w:pStyle w:val="Heading2"/>
        <w:jc w:val="left"/>
      </w:pPr>
      <w:r>
        <w:t>II.</w:t>
      </w:r>
      <w:r>
        <w:tab/>
      </w:r>
      <w:r w:rsidRPr="00377E76" w:rsidR="00AE044A">
        <w:t>Evaluation of Costs and Benefits.</w:t>
      </w:r>
      <w:r w:rsidR="002A21E6">
        <w:t xml:space="preserve"> </w:t>
      </w:r>
    </w:p>
    <w:p w:rsidR="00597A82" w:rsidP="00BD7B26" w:rsidRDefault="00597A82" w14:paraId="6EDD3066" w14:textId="77777777">
      <w:pPr>
        <w:jc w:val="left"/>
      </w:pPr>
    </w:p>
    <w:p w:rsidR="003C77FE" w:rsidP="00BD7B26" w:rsidRDefault="003C77FE" w14:paraId="3696A819" w14:textId="77777777">
      <w:pPr>
        <w:ind w:left="720"/>
        <w:jc w:val="left"/>
      </w:pPr>
      <w:r>
        <w:t>The Proposed Rule resolves three general matters:</w:t>
      </w:r>
    </w:p>
    <w:p w:rsidR="003C77FE" w:rsidP="00BD7B26" w:rsidRDefault="003C77FE" w14:paraId="4CBBA86A" w14:textId="77777777">
      <w:pPr>
        <w:ind w:left="720"/>
        <w:jc w:val="left"/>
      </w:pPr>
    </w:p>
    <w:p w:rsidR="003C77FE" w:rsidP="00BD7B26" w:rsidRDefault="001D0FC2" w14:paraId="5638C279" w14:textId="2EF639AA">
      <w:pPr>
        <w:pStyle w:val="ListParagraph"/>
        <w:numPr>
          <w:ilvl w:val="0"/>
          <w:numId w:val="29"/>
        </w:numPr>
        <w:ind w:left="2160" w:hanging="720"/>
        <w:jc w:val="left"/>
      </w:pPr>
      <w:r>
        <w:t xml:space="preserve">Electronic Filing: </w:t>
      </w:r>
      <w:r w:rsidR="003C77FE">
        <w:t>It provides procedures for filing electronically.</w:t>
      </w:r>
      <w:r w:rsidR="002A21E6">
        <w:t xml:space="preserve"> </w:t>
      </w:r>
      <w:r w:rsidR="003C77FE">
        <w:t>The current rule contains procedures for hard copy filing.</w:t>
      </w:r>
      <w:r w:rsidR="002A21E6">
        <w:t xml:space="preserve"> </w:t>
      </w:r>
      <w:r w:rsidR="003C77FE">
        <w:t>Regulated entities have been filing electronically for over two years in the new system and the Proposed Rule codifies the processes.</w:t>
      </w:r>
    </w:p>
    <w:p w:rsidR="003C77FE" w:rsidP="00BD7B26" w:rsidRDefault="003C77FE" w14:paraId="5A897F3C" w14:textId="77777777">
      <w:pPr>
        <w:pStyle w:val="ListParagraph"/>
        <w:ind w:left="2160"/>
        <w:jc w:val="left"/>
      </w:pPr>
    </w:p>
    <w:p w:rsidR="003C77FE" w:rsidP="00BD7B26" w:rsidRDefault="001D0FC2" w14:paraId="67E3147C" w14:textId="77777777">
      <w:pPr>
        <w:pStyle w:val="ListParagraph"/>
        <w:numPr>
          <w:ilvl w:val="0"/>
          <w:numId w:val="29"/>
        </w:numPr>
        <w:ind w:left="2160" w:hanging="720"/>
        <w:jc w:val="left"/>
      </w:pPr>
      <w:r>
        <w:t xml:space="preserve">Records Retention: </w:t>
      </w:r>
      <w:r w:rsidR="003C77FE">
        <w:t>It allows for a large amount of records retention to be done electronically instead of through hard copy.</w:t>
      </w:r>
      <w:r>
        <w:t xml:space="preserve"> </w:t>
      </w:r>
    </w:p>
    <w:p w:rsidR="001D0FC2" w:rsidP="00BD7B26" w:rsidRDefault="001D0FC2" w14:paraId="0D95C446" w14:textId="77777777">
      <w:pPr>
        <w:pStyle w:val="ListParagraph"/>
        <w:ind w:left="2160"/>
        <w:jc w:val="left"/>
      </w:pPr>
    </w:p>
    <w:p w:rsidR="003C77FE" w:rsidP="00BD7B26" w:rsidRDefault="001D0FC2" w14:paraId="45976222" w14:textId="77777777">
      <w:pPr>
        <w:pStyle w:val="ListParagraph"/>
        <w:numPr>
          <w:ilvl w:val="0"/>
          <w:numId w:val="29"/>
        </w:numPr>
        <w:ind w:left="2160" w:hanging="720"/>
        <w:jc w:val="left"/>
      </w:pPr>
      <w:r>
        <w:t xml:space="preserve">Ex Parte Exception: </w:t>
      </w:r>
      <w:r w:rsidR="003C77FE">
        <w:t>It more clearly enumerates ex parte exceptions and adds one exception.</w:t>
      </w:r>
    </w:p>
    <w:p w:rsidR="001D0FC2" w:rsidP="00BD7B26" w:rsidRDefault="001D0FC2" w14:paraId="5B9C8EBD" w14:textId="77777777">
      <w:pPr>
        <w:jc w:val="left"/>
      </w:pPr>
    </w:p>
    <w:p w:rsidRPr="00795B61" w:rsidR="00795B61" w:rsidP="00BD7B26" w:rsidRDefault="00795B61" w14:paraId="3647E774" w14:textId="52B91612">
      <w:pPr>
        <w:ind w:left="720"/>
        <w:jc w:val="left"/>
      </w:pPr>
      <w:r>
        <w:t>Will the benefits likely exceed the costs?</w:t>
      </w:r>
      <w:r w:rsidR="002A21E6">
        <w:t xml:space="preserve"> </w:t>
      </w:r>
      <w:r>
        <w:t>Yes.</w:t>
      </w:r>
    </w:p>
    <w:p w:rsidR="00AE044A" w:rsidP="00BD7B26" w:rsidRDefault="000F0D2F" w14:paraId="7F87143E" w14:textId="77777777">
      <w:pPr>
        <w:pStyle w:val="Heading4"/>
        <w:numPr>
          <w:ilvl w:val="0"/>
          <w:numId w:val="0"/>
        </w:numPr>
        <w:ind w:left="720"/>
        <w:jc w:val="left"/>
      </w:pPr>
      <w:r>
        <w:t>A.</w:t>
      </w:r>
      <w:r>
        <w:tab/>
      </w:r>
      <w:r w:rsidR="00795B61">
        <w:t>Estimated</w:t>
      </w:r>
      <w:r w:rsidRPr="00377E76" w:rsidR="00AE044A">
        <w:t xml:space="preserve"> primary and direct benefits</w:t>
      </w:r>
      <w:r w:rsidR="00795B61">
        <w:t>.</w:t>
      </w:r>
    </w:p>
    <w:p w:rsidR="003C77FE" w:rsidP="00BD7B26" w:rsidRDefault="001D0FC2" w14:paraId="7C209D2F" w14:textId="4FCD050C">
      <w:pPr>
        <w:ind w:left="1440"/>
        <w:jc w:val="left"/>
      </w:pPr>
      <w:r>
        <w:t xml:space="preserve">Under </w:t>
      </w:r>
      <w:r w:rsidR="00403373">
        <w:t>Electronic Filing</w:t>
      </w:r>
      <w:r>
        <w:t>, the Proposed Rule benefits the Commission and regulated entities by requiring electronic filing.</w:t>
      </w:r>
      <w:r w:rsidR="002A21E6">
        <w:t xml:space="preserve"> </w:t>
      </w:r>
      <w:r>
        <w:t>The Commission previously used a document retention system that did not have automated filing capabilities, was not supported by the Indiana Office of Technology (</w:t>
      </w:r>
      <w:r w:rsidR="00AA7CD7">
        <w:t>“</w:t>
      </w:r>
      <w:r>
        <w:t>IOT</w:t>
      </w:r>
      <w:r w:rsidR="00AA7CD7">
        <w:t>”</w:t>
      </w:r>
      <w:r>
        <w:t>)</w:t>
      </w:r>
      <w:r w:rsidR="006F7A36">
        <w:t>,</w:t>
      </w:r>
      <w:r>
        <w:t xml:space="preserve"> and no longer offered external customer support.</w:t>
      </w:r>
      <w:r w:rsidR="002A21E6">
        <w:t xml:space="preserve"> </w:t>
      </w:r>
      <w:r>
        <w:t>The new system has automated filing capabilities and is supported by IOT and the Commission’s vendor.</w:t>
      </w:r>
      <w:r w:rsidR="002A21E6">
        <w:t xml:space="preserve"> </w:t>
      </w:r>
      <w:r>
        <w:t>This resulted in the elimination of the position of Commission information technology director, saving the Commission $107,068 annually. External entities responded to Commission staff</w:t>
      </w:r>
      <w:r w:rsidR="00FC56EB">
        <w:t>’</w:t>
      </w:r>
      <w:r>
        <w:t>s request for financial impact comments. While entities did not provide hard numbers</w:t>
      </w:r>
      <w:r>
        <w:t xml:space="preserve">, all reported cost savings as a result of this rule. </w:t>
      </w:r>
      <w:r w:rsidR="001312F4">
        <w:t>The Indiana Industrial Electric Consumers, Inc. (“</w:t>
      </w:r>
      <w:r>
        <w:t>INDIEC</w:t>
      </w:r>
      <w:r w:rsidR="001312F4">
        <w:t>”)</w:t>
      </w:r>
      <w:r>
        <w:t xml:space="preserve"> stated, “[W]e believe the ability to electronically </w:t>
      </w:r>
      <w:r>
        <w:t xml:space="preserve">file documents provides net cost savings to INDIEC members based on the reduction of time and resources related to costs of printing, copying, and delivering paper documents to the Commission. Electronic filing will also streamline the review process of filed materials and reduce the need for, and related expense of, managing and protecting large volumes of paper documents.” </w:t>
      </w:r>
    </w:p>
    <w:p w:rsidR="001D0FC2" w:rsidP="00BD7B26" w:rsidRDefault="001D0FC2" w14:paraId="0A3B0E49" w14:textId="77777777">
      <w:pPr>
        <w:ind w:left="1440"/>
        <w:jc w:val="left"/>
      </w:pPr>
    </w:p>
    <w:p w:rsidR="001D0FC2" w:rsidP="00BD7B26" w:rsidRDefault="001D0FC2" w14:paraId="169FC3E3" w14:textId="0A47000D">
      <w:pPr>
        <w:ind w:left="1440"/>
        <w:jc w:val="left"/>
      </w:pPr>
      <w:r>
        <w:t xml:space="preserve">Under </w:t>
      </w:r>
      <w:r w:rsidR="00403373">
        <w:t>Records Retention</w:t>
      </w:r>
      <w:r>
        <w:t>, because all files will now be in the EFS, records retention can be done using PDFs rather than hard copies.</w:t>
      </w:r>
      <w:r w:rsidR="002A21E6">
        <w:t xml:space="preserve"> </w:t>
      </w:r>
      <w:r>
        <w:t>For hard copies, records are stored at the Commission, clips/staples/folders/etc. are removed by Commission staff, the records are delivered to the</w:t>
      </w:r>
      <w:r w:rsidRPr="001D0FC2">
        <w:t xml:space="preserve"> </w:t>
      </w:r>
      <w:r>
        <w:t>Indiana Archives and Records Administration (</w:t>
      </w:r>
      <w:r w:rsidR="00AA7CD7">
        <w:t>“</w:t>
      </w:r>
      <w:r>
        <w:t>IARA</w:t>
      </w:r>
      <w:r w:rsidR="00AA7CD7">
        <w:t>”</w:t>
      </w:r>
      <w:r>
        <w:t>) to save as microfiche, the records are returned to the Commission, and Commission staff does a page by page comparison of the hard copy to the microfiche for quality control.</w:t>
      </w:r>
      <w:r w:rsidR="002A21E6">
        <w:t xml:space="preserve"> </w:t>
      </w:r>
      <w:r>
        <w:t xml:space="preserve">Under the Proposed Rule, since all files will be in the EFS, hard copy records </w:t>
      </w:r>
      <w:r w:rsidR="006F7A36">
        <w:t xml:space="preserve">do </w:t>
      </w:r>
      <w:r>
        <w:t>not have to be stored or moved.</w:t>
      </w:r>
      <w:r w:rsidR="002A21E6">
        <w:t xml:space="preserve"> </w:t>
      </w:r>
      <w:r>
        <w:t xml:space="preserve">In addition, the integrity of the files increases because hard copies do not have to be </w:t>
      </w:r>
      <w:r>
        <w:lastRenderedPageBreak/>
        <w:t>scanned and double checked.</w:t>
      </w:r>
    </w:p>
    <w:p w:rsidR="001D0FC2" w:rsidP="00BD7B26" w:rsidRDefault="001D0FC2" w14:paraId="0A2AAC3E" w14:textId="77777777">
      <w:pPr>
        <w:ind w:left="1440"/>
        <w:jc w:val="left"/>
      </w:pPr>
    </w:p>
    <w:p w:rsidRPr="003C77FE" w:rsidR="003C77FE" w:rsidP="00BD7B26" w:rsidRDefault="001D0FC2" w14:paraId="221E72A9" w14:textId="10739033">
      <w:pPr>
        <w:ind w:left="1440"/>
        <w:jc w:val="left"/>
      </w:pPr>
      <w:r>
        <w:t xml:space="preserve">Under </w:t>
      </w:r>
      <w:r w:rsidR="00403373">
        <w:t>the Ex Parte Exception</w:t>
      </w:r>
      <w:r>
        <w:t xml:space="preserve">, regulated entities benefit </w:t>
      </w:r>
      <w:r w:rsidR="006F7A36">
        <w:t xml:space="preserve">because </w:t>
      </w:r>
      <w:r w:rsidR="000A44FF">
        <w:t>they know when they can communicate directly with Commission staff.</w:t>
      </w:r>
      <w:r w:rsidR="002A21E6">
        <w:t xml:space="preserve"> </w:t>
      </w:r>
      <w:r w:rsidR="000A44FF">
        <w:t>Conversely, when regulated entities know when they cannot communicate directly with Commission staff, it should reduce the number of ex parte communications and the related disclosure staff has to make in the case record.</w:t>
      </w:r>
      <w:r w:rsidR="002A21E6">
        <w:t xml:space="preserve"> </w:t>
      </w:r>
      <w:r w:rsidR="000A44FF">
        <w:t>The Proposed Rule specifically enumerates the exceptions to ex parte and adds integrated resource plans that were not previously listed in the rule.</w:t>
      </w:r>
    </w:p>
    <w:p w:rsidR="00FA1C5C" w:rsidP="00BD7B26" w:rsidRDefault="000F0D2F" w14:paraId="0521705A" w14:textId="77777777">
      <w:pPr>
        <w:pStyle w:val="Heading4"/>
        <w:numPr>
          <w:ilvl w:val="0"/>
          <w:numId w:val="0"/>
        </w:numPr>
        <w:ind w:left="720"/>
        <w:jc w:val="left"/>
      </w:pPr>
      <w:r>
        <w:t>B.</w:t>
      </w:r>
      <w:r>
        <w:tab/>
      </w:r>
      <w:r w:rsidR="00FA1C5C">
        <w:t>Estimated</w:t>
      </w:r>
      <w:r w:rsidRPr="00893B1D" w:rsidR="00AE044A">
        <w:t xml:space="preserve"> secondary or indirect benefits</w:t>
      </w:r>
      <w:r w:rsidR="00FA1C5C">
        <w:t>.</w:t>
      </w:r>
    </w:p>
    <w:p w:rsidR="000A44FF" w:rsidP="00BD7B26" w:rsidRDefault="000A44FF" w14:paraId="6EDFCD96" w14:textId="2CAFD351">
      <w:pPr>
        <w:ind w:left="1440"/>
        <w:jc w:val="left"/>
      </w:pPr>
      <w:r w:rsidRPr="000A44FF">
        <w:t xml:space="preserve">An indirect benefit </w:t>
      </w:r>
      <w:r>
        <w:t>to electronic filing is consistency with Indiana courts.</w:t>
      </w:r>
      <w:r w:rsidR="002A21E6">
        <w:t xml:space="preserve"> </w:t>
      </w:r>
      <w:r>
        <w:t>The Indiana Court of Appeals and nearly all Indiana trial courts now require electronic filing.</w:t>
      </w:r>
      <w:r w:rsidR="002A21E6">
        <w:t xml:space="preserve"> </w:t>
      </w:r>
    </w:p>
    <w:p w:rsidR="000A44FF" w:rsidP="00BD7B26" w:rsidRDefault="000A44FF" w14:paraId="1ADEE9BB" w14:textId="77777777">
      <w:pPr>
        <w:ind w:left="1440"/>
        <w:jc w:val="left"/>
      </w:pPr>
    </w:p>
    <w:p w:rsidRPr="000A44FF" w:rsidR="000A44FF" w:rsidP="00BD7B26" w:rsidRDefault="000A44FF" w14:paraId="74B976AF" w14:textId="695778B5">
      <w:pPr>
        <w:ind w:left="1440"/>
        <w:jc w:val="left"/>
      </w:pPr>
      <w:r>
        <w:t>Another indirect benefit to the EFS is a reduction in public record requests and real time ability to find case records.</w:t>
      </w:r>
      <w:r w:rsidR="002A21E6">
        <w:t xml:space="preserve"> </w:t>
      </w:r>
      <w:r>
        <w:t>In the new EFS, external parties can access cases filings.</w:t>
      </w:r>
      <w:r w:rsidR="002A21E6">
        <w:t xml:space="preserve"> </w:t>
      </w:r>
      <w:r>
        <w:t>The EFS has better search capabilities than the old document retention system.</w:t>
      </w:r>
    </w:p>
    <w:p w:rsidR="00E12CBC" w:rsidP="00BD7B26" w:rsidRDefault="000F0D2F" w14:paraId="0A0B09EB" w14:textId="77777777">
      <w:pPr>
        <w:pStyle w:val="Heading4"/>
        <w:numPr>
          <w:ilvl w:val="0"/>
          <w:numId w:val="0"/>
        </w:numPr>
        <w:ind w:left="720"/>
        <w:jc w:val="left"/>
      </w:pPr>
      <w:r>
        <w:t>C.</w:t>
      </w:r>
      <w:r>
        <w:tab/>
      </w:r>
      <w:r w:rsidR="00E12CBC">
        <w:t>E</w:t>
      </w:r>
      <w:r w:rsidRPr="00377E76" w:rsidR="00AE044A">
        <w:t>stima</w:t>
      </w:r>
      <w:r w:rsidR="00E12CBC">
        <w:t>t</w:t>
      </w:r>
      <w:r w:rsidRPr="00377E76" w:rsidR="00AE044A">
        <w:t>e</w:t>
      </w:r>
      <w:r w:rsidR="00E12CBC">
        <w:t>d</w:t>
      </w:r>
      <w:r w:rsidRPr="00377E76" w:rsidR="00AE044A">
        <w:t xml:space="preserve"> compliance costs for </w:t>
      </w:r>
      <w:r w:rsidRPr="00377E76" w:rsidR="00A133F8">
        <w:t>regulated entities</w:t>
      </w:r>
      <w:r w:rsidR="00E12CBC">
        <w:t>.</w:t>
      </w:r>
    </w:p>
    <w:p w:rsidRPr="000A44FF" w:rsidR="000A44FF" w:rsidP="00BD7B26" w:rsidRDefault="000A44FF" w14:paraId="6488370A" w14:textId="569D4B18">
      <w:pPr>
        <w:ind w:left="1440"/>
        <w:jc w:val="left"/>
      </w:pPr>
      <w:r>
        <w:t>There are no estimated compliance costs for regulated entities. Of external entities responding to Commission staff</w:t>
      </w:r>
      <w:r w:rsidR="00FC56EB">
        <w:t>’</w:t>
      </w:r>
      <w:r>
        <w:t>s request for financial impact comments, only one entity reported direct costs.</w:t>
      </w:r>
      <w:r w:rsidR="002A21E6">
        <w:t xml:space="preserve"> </w:t>
      </w:r>
      <w:r w:rsidR="00785543">
        <w:t xml:space="preserve">The Indiana Energy </w:t>
      </w:r>
      <w:r w:rsidR="00785543">
        <w:t>Association (</w:t>
      </w:r>
      <w:r w:rsidR="001312F4">
        <w:t>“</w:t>
      </w:r>
      <w:r w:rsidR="00785543">
        <w:t>IEA</w:t>
      </w:r>
      <w:r w:rsidR="001312F4">
        <w:t>”</w:t>
      </w:r>
      <w:r w:rsidR="00785543">
        <w:t>)</w:t>
      </w:r>
      <w:r>
        <w:t xml:space="preserve"> stated generally, “IEA does not anticipate significant added direct costs because of the </w:t>
      </w:r>
      <w:r>
        <w:t>rulemaking.” However, IEA did not elaborate or provide examples of specific costs it anticipates</w:t>
      </w:r>
      <w:r w:rsidR="00FC56EB">
        <w:t>,</w:t>
      </w:r>
      <w:r>
        <w:t xml:space="preserve"> and therefore it is unclear if there are truly any added costs for compliance.</w:t>
      </w:r>
    </w:p>
    <w:p w:rsidR="00684F82" w:rsidP="00BD7B26" w:rsidRDefault="000F0D2F" w14:paraId="58B45D16" w14:textId="77777777">
      <w:pPr>
        <w:pStyle w:val="Heading4"/>
        <w:numPr>
          <w:ilvl w:val="0"/>
          <w:numId w:val="0"/>
        </w:numPr>
        <w:ind w:left="720"/>
        <w:jc w:val="left"/>
      </w:pPr>
      <w:r>
        <w:t>D.</w:t>
      </w:r>
      <w:r>
        <w:tab/>
      </w:r>
      <w:r w:rsidR="00684F82">
        <w:t>Estimated</w:t>
      </w:r>
      <w:r w:rsidRPr="00377E76" w:rsidR="00AE044A">
        <w:t xml:space="preserve"> administrative expenses</w:t>
      </w:r>
      <w:r w:rsidR="00684F82">
        <w:t>.</w:t>
      </w:r>
    </w:p>
    <w:p w:rsidR="000A44FF" w:rsidP="00BD7B26" w:rsidRDefault="000A44FF" w14:paraId="1A6408C2" w14:textId="14FC9010">
      <w:pPr>
        <w:ind w:left="1440"/>
        <w:jc w:val="left"/>
      </w:pPr>
      <w:r>
        <w:t>There are no estimated administrative expenses.</w:t>
      </w:r>
      <w:r w:rsidR="002A21E6">
        <w:t xml:space="preserve"> </w:t>
      </w:r>
      <w:r w:rsidR="00785543">
        <w:t xml:space="preserve">Regarding </w:t>
      </w:r>
      <w:r w:rsidR="00403373">
        <w:t>Electronic Filing</w:t>
      </w:r>
      <w:r w:rsidR="00785543">
        <w:t>, s</w:t>
      </w:r>
      <w:r>
        <w:t>uch expenses are actually anticipated to be reduced.</w:t>
      </w:r>
      <w:r w:rsidR="002A21E6">
        <w:t xml:space="preserve"> </w:t>
      </w:r>
      <w:r>
        <w:t>This includes costs for paper, printing, mailing, courier service</w:t>
      </w:r>
      <w:r w:rsidR="00785543">
        <w:t xml:space="preserve">, and any other expenses relating to hard copy filing. </w:t>
      </w:r>
    </w:p>
    <w:p w:rsidR="00785543" w:rsidP="00BD7B26" w:rsidRDefault="00785543" w14:paraId="0AB0C64F" w14:textId="77777777">
      <w:pPr>
        <w:ind w:left="1440"/>
        <w:jc w:val="left"/>
      </w:pPr>
    </w:p>
    <w:p w:rsidR="00785543" w:rsidP="00BD7B26" w:rsidRDefault="00785543" w14:paraId="3AB47148" w14:textId="382F7A4C">
      <w:pPr>
        <w:ind w:left="1440"/>
        <w:jc w:val="left"/>
      </w:pPr>
      <w:r>
        <w:t xml:space="preserve">With regard to </w:t>
      </w:r>
      <w:r w:rsidR="00403373">
        <w:t>the Ex Parte Exception</w:t>
      </w:r>
      <w:r>
        <w:t xml:space="preserve">, </w:t>
      </w:r>
      <w:r w:rsidR="00111159">
        <w:t xml:space="preserve">regulated entities’ </w:t>
      </w:r>
      <w:r>
        <w:t>legal and accounting costs may be reduced</w:t>
      </w:r>
      <w:r w:rsidR="00111159">
        <w:t>.</w:t>
      </w:r>
      <w:r w:rsidR="002A21E6">
        <w:t xml:space="preserve"> </w:t>
      </w:r>
      <w:r>
        <w:t>By knowing instances where ex parte does not apply, those entities may be able to seek assistance from Commission staff rather than hiring attorneys and accountants for help.</w:t>
      </w:r>
    </w:p>
    <w:p w:rsidR="00684F82" w:rsidP="00BD7B26" w:rsidRDefault="000F0D2F" w14:paraId="376AB3EB" w14:textId="77777777">
      <w:pPr>
        <w:pStyle w:val="Heading4"/>
        <w:numPr>
          <w:ilvl w:val="0"/>
          <w:numId w:val="0"/>
        </w:numPr>
        <w:ind w:left="720"/>
        <w:jc w:val="left"/>
      </w:pPr>
      <w:r>
        <w:t>E.</w:t>
      </w:r>
      <w:r>
        <w:tab/>
      </w:r>
      <w:r w:rsidR="00684F82">
        <w:t xml:space="preserve">Estimated </w:t>
      </w:r>
      <w:r w:rsidRPr="00377E76" w:rsidR="00AE044A">
        <w:t>cost</w:t>
      </w:r>
      <w:r w:rsidRPr="00377E76" w:rsidR="00A133F8">
        <w:t xml:space="preserve"> savings</w:t>
      </w:r>
      <w:r w:rsidRPr="00377E76" w:rsidR="00AE044A">
        <w:t xml:space="preserve"> to</w:t>
      </w:r>
      <w:r w:rsidRPr="00377E76" w:rsidR="00A133F8">
        <w:t xml:space="preserve"> regulated entities</w:t>
      </w:r>
      <w:r w:rsidR="00684F82">
        <w:t>.</w:t>
      </w:r>
    </w:p>
    <w:p w:rsidRPr="00785543" w:rsidR="00785543" w:rsidP="00BD7B26" w:rsidRDefault="00785543" w14:paraId="13851345" w14:textId="4D2C0511">
      <w:pPr>
        <w:ind w:left="1440"/>
        <w:jc w:val="left"/>
      </w:pPr>
      <w:r>
        <w:t>Of external entities responding to Commission staff</w:t>
      </w:r>
      <w:r w:rsidR="00FC56EB">
        <w:t>’</w:t>
      </w:r>
      <w:r>
        <w:t>s request for financial impact comments</w:t>
      </w:r>
      <w:r w:rsidR="00BD7B26">
        <w:t xml:space="preserve">, none provided </w:t>
      </w:r>
      <w:r>
        <w:t xml:space="preserve">hard numbers, </w:t>
      </w:r>
      <w:r w:rsidR="00BD7B26">
        <w:t xml:space="preserve">but </w:t>
      </w:r>
      <w:r>
        <w:t xml:space="preserve">all reported cost savings as a result of this </w:t>
      </w:r>
      <w:r>
        <w:t xml:space="preserve">rule. </w:t>
      </w:r>
      <w:r w:rsidR="00BD7B26">
        <w:t>INDIEC</w:t>
      </w:r>
      <w:r w:rsidRPr="001F7204" w:rsidR="00BD7B26">
        <w:t xml:space="preserve"> </w:t>
      </w:r>
      <w:r>
        <w:t>stated</w:t>
      </w:r>
      <w:r>
        <w:t xml:space="preserve">, “[W]e believe the ability to electronically file documents provides net cost savings to INDIEC members based on the reduction of time and resources related to costs of printing, copying, and delivering paper </w:t>
      </w:r>
      <w:r>
        <w:lastRenderedPageBreak/>
        <w:t>documents to the Commission. Electronic filing will also streamline the review process of filed materials and reduce the need for, and related expense of, managing and protecting large volumes of paper documents.”</w:t>
      </w:r>
    </w:p>
    <w:p w:rsidR="00AE044A" w:rsidP="00BD7B26" w:rsidRDefault="000F0D2F" w14:paraId="7340E9D2" w14:textId="77777777">
      <w:pPr>
        <w:pStyle w:val="Heading4"/>
        <w:numPr>
          <w:ilvl w:val="0"/>
          <w:numId w:val="0"/>
        </w:numPr>
        <w:ind w:left="720"/>
        <w:jc w:val="left"/>
      </w:pPr>
      <w:r>
        <w:t>F.</w:t>
      </w:r>
      <w:r>
        <w:tab/>
      </w:r>
      <w:r w:rsidR="00684F82">
        <w:t>Sources consulted and methodology used.</w:t>
      </w:r>
      <w:r w:rsidRPr="00377E76" w:rsidR="00AE044A">
        <w:t xml:space="preserve"> </w:t>
      </w:r>
    </w:p>
    <w:p w:rsidR="00BD7B26" w:rsidP="00BD7B26" w:rsidRDefault="00BD7B26" w14:paraId="1C57207E" w14:textId="50880F4A">
      <w:pPr>
        <w:ind w:left="1440"/>
        <w:jc w:val="left"/>
      </w:pPr>
      <w:r>
        <w:t>Commission staff worked with stakeholders throughout the creation of the new EFS and drafting the Proposed Rule.</w:t>
      </w:r>
      <w:r w:rsidR="002A21E6">
        <w:t xml:space="preserve"> </w:t>
      </w:r>
      <w:r>
        <w:t>An initial meeting request was sent to external parties that had accounts in the old document system, members of the Utility Section of the Indiana State Bar Association, and Commission staff affected by or working on the new EFS. Those participants were invited to join a listserv if they wanted to continue participation in the process. The listserv currently includes more than 50 participants.</w:t>
      </w:r>
    </w:p>
    <w:p w:rsidR="00BD7B26" w:rsidP="00BD7B26" w:rsidRDefault="00BD7B26" w14:paraId="55863759" w14:textId="77777777">
      <w:pPr>
        <w:ind w:left="1440"/>
      </w:pPr>
    </w:p>
    <w:p w:rsidR="00BD7B26" w:rsidP="008131F0" w:rsidRDefault="00BD7B26" w14:paraId="1906264E" w14:textId="5DF4724D">
      <w:pPr>
        <w:ind w:left="1440"/>
        <w:jc w:val="left"/>
      </w:pPr>
      <w:r>
        <w:t xml:space="preserve">Staff held multiple workshops and solicited </w:t>
      </w:r>
      <w:r w:rsidR="009C5514">
        <w:t xml:space="preserve">comments </w:t>
      </w:r>
      <w:r>
        <w:t>multiple times from members of the listserv.</w:t>
      </w:r>
      <w:r w:rsidR="002A21E6">
        <w:t xml:space="preserve"> </w:t>
      </w:r>
      <w:r>
        <w:t>Responses for this cost benefit analysis were compiled by using Commission staff</w:t>
      </w:r>
      <w:r w:rsidR="00FC56EB">
        <w:t>’</w:t>
      </w:r>
      <w:r>
        <w:t>s knowledge of staffing and workload, and culled from external entities that responded to Commission staff</w:t>
      </w:r>
      <w:r w:rsidR="00FC56EB">
        <w:t>’</w:t>
      </w:r>
      <w:r>
        <w:t>s request for financial impact comments.</w:t>
      </w:r>
    </w:p>
    <w:p w:rsidR="00597A82" w:rsidP="00BD7B26" w:rsidRDefault="000F0D2F" w14:paraId="1BF83111" w14:textId="6071EC76">
      <w:pPr>
        <w:pStyle w:val="Heading2"/>
        <w:jc w:val="left"/>
      </w:pPr>
      <w:r>
        <w:t>III.</w:t>
      </w:r>
      <w:r>
        <w:tab/>
      </w:r>
      <w:r w:rsidRPr="00377E76" w:rsidR="00FE2CDC">
        <w:t>Examination of Alternatives.</w:t>
      </w:r>
      <w:r w:rsidR="002A21E6">
        <w:t xml:space="preserve"> </w:t>
      </w:r>
    </w:p>
    <w:p w:rsidR="00597A82" w:rsidP="00BD7B26" w:rsidRDefault="00AE044A" w14:paraId="1B7F0B88" w14:textId="67C9F227">
      <w:pPr>
        <w:pStyle w:val="Heading3"/>
        <w:numPr>
          <w:ilvl w:val="0"/>
          <w:numId w:val="27"/>
        </w:numPr>
        <w:ind w:hanging="720"/>
        <w:jc w:val="left"/>
      </w:pPr>
      <w:r w:rsidRPr="00377E76">
        <w:t>Alternatives defined by statute.</w:t>
      </w:r>
      <w:r w:rsidR="002A21E6">
        <w:t xml:space="preserve"> </w:t>
      </w:r>
    </w:p>
    <w:p w:rsidR="006A3683" w:rsidP="006A3683" w:rsidRDefault="006A3683" w14:paraId="73EA1647" w14:textId="77777777">
      <w:pPr>
        <w:ind w:left="1440"/>
        <w:jc w:val="left"/>
      </w:pPr>
      <w:r>
        <w:t xml:space="preserve">This rule </w:t>
      </w:r>
      <w:r w:rsidRPr="00377E76" w:rsidR="00AE044A">
        <w:t>consistent with the specific statutory requirement and clearly within th</w:t>
      </w:r>
      <w:r>
        <w:t xml:space="preserve">e Commission’s statutory discretion. The Commission is required by </w:t>
      </w:r>
      <w:r w:rsidRPr="008F3D6F">
        <w:t xml:space="preserve">Ind. Code </w:t>
      </w:r>
      <w:r>
        <w:t xml:space="preserve">§ 8-1-1-3 to formulate rules necessary or appropriate to carry out Ind. Code </w:t>
      </w:r>
      <w:proofErr w:type="spellStart"/>
      <w:r>
        <w:t>ch.</w:t>
      </w:r>
      <w:proofErr w:type="spellEnd"/>
      <w:r>
        <w:t xml:space="preserve"> 8-1-1, Utility Regulatory Commission, and perform its duties. Further, </w:t>
      </w:r>
      <w:r w:rsidRPr="008F3D6F">
        <w:t>Ind. Code §</w:t>
      </w:r>
      <w:r>
        <w:t xml:space="preserve"> </w:t>
      </w:r>
      <w:r w:rsidRPr="008F3D6F">
        <w:t>8-1-2-47</w:t>
      </w:r>
      <w:r>
        <w:t xml:space="preserve"> provides the Commission authority to adopt reasonable rules relative to investigations and proceedings</w:t>
      </w:r>
      <w:r w:rsidR="00D67D4A">
        <w:t>.</w:t>
      </w:r>
    </w:p>
    <w:p w:rsidR="00597A82" w:rsidP="00BD7B26" w:rsidRDefault="00AE044A" w14:paraId="766592A2" w14:textId="10B684EF">
      <w:pPr>
        <w:pStyle w:val="Heading3"/>
        <w:jc w:val="left"/>
      </w:pPr>
      <w:r w:rsidRPr="00377E76">
        <w:t>The feasibility of market</w:t>
      </w:r>
      <w:r w:rsidR="003D532D">
        <w:t>-</w:t>
      </w:r>
      <w:r w:rsidRPr="00377E76">
        <w:t>oriented approaches</w:t>
      </w:r>
      <w:r w:rsidR="00597A82">
        <w:t>.</w:t>
      </w:r>
    </w:p>
    <w:p w:rsidR="008131F0" w:rsidP="00BD7B26" w:rsidRDefault="00D67D4A" w14:paraId="079629E4" w14:textId="5A0650F2">
      <w:pPr>
        <w:ind w:left="1440"/>
        <w:jc w:val="left"/>
      </w:pPr>
      <w:r>
        <w:t>T</w:t>
      </w:r>
      <w:r w:rsidRPr="00377E76" w:rsidR="00AC441A">
        <w:t xml:space="preserve">he market could </w:t>
      </w:r>
      <w:r>
        <w:t xml:space="preserve">not </w:t>
      </w:r>
      <w:r w:rsidRPr="00377E76" w:rsidR="00AC441A">
        <w:t>eventually remedy the alleged harm the rule is intended to regulate,</w:t>
      </w:r>
      <w:r>
        <w:t xml:space="preserve"> rather than direct controls.</w:t>
      </w:r>
      <w:r w:rsidR="002A21E6">
        <w:t xml:space="preserve"> </w:t>
      </w:r>
      <w:r w:rsidR="008131F0">
        <w:t>Market approaches can be useful if there is only a need to change a percentage of behavior.</w:t>
      </w:r>
      <w:r w:rsidR="002A21E6">
        <w:t xml:space="preserve"> </w:t>
      </w:r>
      <w:r w:rsidR="008131F0">
        <w:t>Here, t</w:t>
      </w:r>
      <w:r>
        <w:t xml:space="preserve">he alleged harm that would occur if the rule is not changed is that some regulated entities may choose not to use the EFS, resulting in a </w:t>
      </w:r>
      <w:proofErr w:type="spellStart"/>
      <w:r>
        <w:t>hodge</w:t>
      </w:r>
      <w:proofErr w:type="spellEnd"/>
      <w:r>
        <w:t xml:space="preserve"> podge of hard and electronic copies, increased Commission staff time to file documents, and confusion.</w:t>
      </w:r>
      <w:r w:rsidR="002A21E6">
        <w:t xml:space="preserve"> </w:t>
      </w:r>
      <w:r w:rsidR="008131F0">
        <w:t>A market-oriented approach could not resolve that.</w:t>
      </w:r>
    </w:p>
    <w:p w:rsidR="008131F0" w:rsidP="00BD7B26" w:rsidRDefault="008131F0" w14:paraId="41452E47" w14:textId="77777777">
      <w:pPr>
        <w:ind w:left="1440"/>
        <w:jc w:val="left"/>
      </w:pPr>
    </w:p>
    <w:p w:rsidR="008131F0" w:rsidP="008131F0" w:rsidRDefault="008131F0" w14:paraId="3EFC5445" w14:textId="6422ED51">
      <w:pPr>
        <w:ind w:left="1440"/>
        <w:jc w:val="left"/>
      </w:pPr>
      <w:r>
        <w:t>Regarding ex parte rules, better defining those rules helps regulated entities by helping clarify when it is appropriate for them to request help from knowledgeable Commission staff. Without this clarification, regulated entities may be limited to hiring costly experts to help with filings. Again, a market-oriented approach could not resolve that.</w:t>
      </w:r>
    </w:p>
    <w:p w:rsidR="00AE044A" w:rsidP="00BD7B26" w:rsidRDefault="00AE044A" w14:paraId="5E1DF551" w14:textId="77777777">
      <w:pPr>
        <w:pStyle w:val="Heading3"/>
        <w:jc w:val="left"/>
      </w:pPr>
      <w:r w:rsidRPr="00377E76">
        <w:lastRenderedPageBreak/>
        <w:t xml:space="preserve">Measures to improve the availability of information, </w:t>
      </w:r>
      <w:r w:rsidR="00614CEE">
        <w:t>as an alternative to</w:t>
      </w:r>
      <w:r w:rsidR="00597A82">
        <w:t xml:space="preserve"> regulation.</w:t>
      </w:r>
    </w:p>
    <w:p w:rsidRPr="00D67D4A" w:rsidR="00D67D4A" w:rsidP="00D67D4A" w:rsidRDefault="00D67D4A" w14:paraId="3E5917AA" w14:textId="4EF22FAC">
      <w:pPr>
        <w:ind w:left="1440"/>
        <w:jc w:val="left"/>
      </w:pPr>
      <w:r>
        <w:t>Requiring regulated entities to file in the EFS is the measure to improve the availability of information.</w:t>
      </w:r>
      <w:r w:rsidR="002A21E6">
        <w:t xml:space="preserve"> </w:t>
      </w:r>
      <w:r>
        <w:t xml:space="preserve">The alternative would be public record requests that would require a longer response time, may require additional follow up to clarify requests, and would require the </w:t>
      </w:r>
      <w:r w:rsidR="008131F0">
        <w:t>person</w:t>
      </w:r>
      <w:r>
        <w:t xml:space="preserve"> to disclose who they are and what information they want when </w:t>
      </w:r>
      <w:r w:rsidR="00FC56EB">
        <w:t xml:space="preserve">the </w:t>
      </w:r>
      <w:r w:rsidR="008131F0">
        <w:t>person</w:t>
      </w:r>
      <w:r>
        <w:t xml:space="preserve"> may not wish to reveal such information.</w:t>
      </w:r>
    </w:p>
    <w:p w:rsidR="00597A82" w:rsidP="00BD7B26" w:rsidRDefault="00597A82" w14:paraId="7AEDBC88" w14:textId="77777777">
      <w:pPr>
        <w:pStyle w:val="Heading3"/>
        <w:jc w:val="left"/>
      </w:pPr>
      <w:r>
        <w:t>V</w:t>
      </w:r>
      <w:r w:rsidRPr="00377E76" w:rsidR="00AE044A">
        <w:t>arious enforcement methods</w:t>
      </w:r>
      <w:r>
        <w:t>.</w:t>
      </w:r>
    </w:p>
    <w:p w:rsidR="00D67D4A" w:rsidP="00BD7B26" w:rsidRDefault="00D67D4A" w14:paraId="0D669D34" w14:textId="0E312386">
      <w:pPr>
        <w:ind w:left="1440"/>
        <w:jc w:val="left"/>
      </w:pPr>
      <w:r>
        <w:t>There are no enforcement methods that can be used without the updates in the Proposed Rule.</w:t>
      </w:r>
      <w:r w:rsidR="002A21E6">
        <w:t xml:space="preserve"> </w:t>
      </w:r>
      <w:r>
        <w:t xml:space="preserve">Only once the rule is in place will there be non-compliance “penalties” in the form </w:t>
      </w:r>
      <w:r w:rsidR="00FC56EB">
        <w:t xml:space="preserve">of </w:t>
      </w:r>
      <w:r>
        <w:t>rejected filings, if such filings do not meet the procedural rule requirements.</w:t>
      </w:r>
    </w:p>
    <w:p w:rsidR="00597A82" w:rsidP="00BD7B26" w:rsidRDefault="00AE044A" w14:paraId="34A987AB" w14:textId="5F726C88">
      <w:pPr>
        <w:pStyle w:val="Heading3"/>
        <w:jc w:val="left"/>
      </w:pPr>
      <w:r w:rsidRPr="00377E76">
        <w:t>Performance standards rather than design standards.</w:t>
      </w:r>
      <w:r w:rsidR="002A21E6">
        <w:t xml:space="preserve"> </w:t>
      </w:r>
    </w:p>
    <w:p w:rsidR="00D67D4A" w:rsidP="008131F0" w:rsidRDefault="00D67D4A" w14:paraId="66C6724D" w14:textId="687CA402">
      <w:pPr>
        <w:ind w:left="1440"/>
        <w:jc w:val="left"/>
      </w:pPr>
      <w:r>
        <w:t>The Propose Rule can be considered more of a performance standard than a design standard.</w:t>
      </w:r>
      <w:r w:rsidR="002A21E6">
        <w:t xml:space="preserve"> </w:t>
      </w:r>
      <w:r>
        <w:t xml:space="preserve">The procedures are performance standards to result in the desired outcome of a comprehensive online record in docketed proceedings. </w:t>
      </w:r>
    </w:p>
    <w:p w:rsidR="00597A82" w:rsidP="00BD7B26" w:rsidRDefault="00AE044A" w14:paraId="661BE33D" w14:textId="4E8F3210">
      <w:pPr>
        <w:pStyle w:val="Heading3"/>
        <w:jc w:val="left"/>
      </w:pPr>
      <w:r w:rsidRPr="00377E76">
        <w:t xml:space="preserve">Different requirements for different sized </w:t>
      </w:r>
      <w:r w:rsidR="00FE5D4A">
        <w:t>regulated entities</w:t>
      </w:r>
      <w:r w:rsidRPr="00377E76">
        <w:t>.</w:t>
      </w:r>
      <w:r w:rsidR="002A21E6">
        <w:t xml:space="preserve"> </w:t>
      </w:r>
    </w:p>
    <w:p w:rsidR="00D67D4A" w:rsidP="00BD7B26" w:rsidRDefault="00D67D4A" w14:paraId="56E9913F" w14:textId="69C766A3">
      <w:pPr>
        <w:ind w:left="1440"/>
        <w:jc w:val="left"/>
      </w:pPr>
      <w:r>
        <w:t>It is not feasible or necessary to have different requirements for different sized regulated entities.</w:t>
      </w:r>
      <w:r w:rsidR="002A21E6">
        <w:t xml:space="preserve"> </w:t>
      </w:r>
      <w:r>
        <w:t>Essentially</w:t>
      </w:r>
      <w:r w:rsidR="008E6FC5">
        <w:t>,</w:t>
      </w:r>
      <w:r>
        <w:t xml:space="preserve"> the Proposed Rule will now require regulated entities to have an internet connection.</w:t>
      </w:r>
      <w:r w:rsidR="002A21E6">
        <w:t xml:space="preserve"> </w:t>
      </w:r>
      <w:r>
        <w:t>Affected entities include law firms, attorneys, government entities, and regulated utilities.</w:t>
      </w:r>
      <w:r w:rsidR="002A21E6">
        <w:t xml:space="preserve"> </w:t>
      </w:r>
      <w:r>
        <w:t>All or the majority of these entities already have an internet connection.</w:t>
      </w:r>
      <w:r w:rsidR="002A21E6">
        <w:t xml:space="preserve"> </w:t>
      </w:r>
      <w:r>
        <w:t xml:space="preserve">For the exceedingly </w:t>
      </w:r>
      <w:r w:rsidR="00637422">
        <w:t>few</w:t>
      </w:r>
      <w:r>
        <w:t xml:space="preserve"> that may not, internet access is free at any local library.</w:t>
      </w:r>
    </w:p>
    <w:p w:rsidR="00597A82" w:rsidP="00BD7B26" w:rsidRDefault="00625B78" w14:paraId="597601EA" w14:textId="77777777">
      <w:pPr>
        <w:pStyle w:val="Heading3"/>
        <w:jc w:val="left"/>
      </w:pPr>
      <w:r>
        <w:t xml:space="preserve">Establish a baseline. </w:t>
      </w:r>
    </w:p>
    <w:p w:rsidR="00D67D4A" w:rsidP="00BD7B26" w:rsidRDefault="00D67D4A" w14:paraId="1F345AA8" w14:textId="0D530B46">
      <w:pPr>
        <w:ind w:left="1440"/>
        <w:jc w:val="left"/>
        <w:rPr>
          <w:b/>
        </w:rPr>
      </w:pPr>
      <w:r>
        <w:t>Without the new EFS</w:t>
      </w:r>
      <w:r w:rsidR="008E6FC5">
        <w:t>,</w:t>
      </w:r>
      <w:r>
        <w:t xml:space="preserve"> and the resulting Proposed Rule to implement its use, the Commission would still be using the old document system.</w:t>
      </w:r>
      <w:r w:rsidR="002A21E6">
        <w:t xml:space="preserve"> </w:t>
      </w:r>
      <w:r>
        <w:t>There would be no software updates or external or IOT support.</w:t>
      </w:r>
      <w:r w:rsidR="002A21E6">
        <w:t xml:space="preserve"> </w:t>
      </w:r>
      <w:r>
        <w:t xml:space="preserve">The </w:t>
      </w:r>
      <w:r w:rsidRPr="00D67D4A">
        <w:t>Commission would have to reinstate an information technology director at a cost of $107,068 annually.</w:t>
      </w:r>
      <w:r>
        <w:rPr>
          <w:b/>
        </w:rPr>
        <w:t xml:space="preserve"> </w:t>
      </w:r>
    </w:p>
    <w:p w:rsidR="00D67D4A" w:rsidP="00BD7B26" w:rsidRDefault="00D67D4A" w14:paraId="3686A10B" w14:textId="77777777">
      <w:pPr>
        <w:ind w:left="1440"/>
        <w:jc w:val="left"/>
        <w:rPr>
          <w:b/>
        </w:rPr>
      </w:pPr>
    </w:p>
    <w:p w:rsidR="00D67D4A" w:rsidP="00BD7B26" w:rsidRDefault="00D67D4A" w14:paraId="65DCFDCF" w14:textId="1A96F298">
      <w:pPr>
        <w:ind w:left="1440"/>
        <w:jc w:val="left"/>
      </w:pPr>
      <w:r>
        <w:t xml:space="preserve">Further, record retention would still be done with hard copies, resulting in </w:t>
      </w:r>
      <w:r w:rsidR="00E01C20">
        <w:t xml:space="preserve">state resources of employee time, storage, and delivery costs for the records to go to/from the Commission to be </w:t>
      </w:r>
      <w:proofErr w:type="spellStart"/>
      <w:r w:rsidR="00E01C20">
        <w:t>microfiched</w:t>
      </w:r>
      <w:proofErr w:type="spellEnd"/>
      <w:r w:rsidR="00E01C20">
        <w:t xml:space="preserve">. There would also be more opportunity for errors to the records since quality control would be done comparing the hard copy instead of </w:t>
      </w:r>
      <w:r w:rsidR="00637422">
        <w:t>creating</w:t>
      </w:r>
      <w:r w:rsidR="00E01C20">
        <w:t xml:space="preserve"> microfiche from PDFs. </w:t>
      </w:r>
    </w:p>
    <w:p w:rsidRPr="00377E76" w:rsidR="00AA0ABD" w:rsidP="00BD7B26" w:rsidRDefault="00AE044A" w14:paraId="6A01CDBB" w14:textId="77777777">
      <w:pPr>
        <w:pStyle w:val="Heading3"/>
        <w:jc w:val="left"/>
      </w:pPr>
      <w:r w:rsidRPr="00377E76">
        <w:t>Different compliance dates</w:t>
      </w:r>
      <w:r w:rsidR="00597A82">
        <w:t>.</w:t>
      </w:r>
    </w:p>
    <w:p w:rsidR="00597A82" w:rsidP="00BD7B26" w:rsidRDefault="00AA0ABD" w14:paraId="623E6F79" w14:textId="77777777">
      <w:pPr>
        <w:pStyle w:val="Heading3"/>
        <w:jc w:val="left"/>
      </w:pPr>
      <w:r w:rsidRPr="00377E76">
        <w:t xml:space="preserve">Redundancy. </w:t>
      </w:r>
    </w:p>
    <w:p w:rsidR="008D401C" w:rsidP="00BD7B26" w:rsidRDefault="00AA0ABD" w14:paraId="10476E6B" w14:textId="77777777">
      <w:pPr>
        <w:ind w:left="1440"/>
        <w:jc w:val="left"/>
      </w:pPr>
      <w:r w:rsidRPr="00377E76">
        <w:t xml:space="preserve">Per IC 4-22-2-19.5 the proposed rule </w:t>
      </w:r>
      <w:r w:rsidR="00E01C20">
        <w:t xml:space="preserve">does not </w:t>
      </w:r>
      <w:r w:rsidRPr="00377E76">
        <w:t>duplicate standards already found in state or federal law.</w:t>
      </w:r>
    </w:p>
    <w:p w:rsidR="00FA7F26" w:rsidP="00BD7B26" w:rsidRDefault="000F0D2F" w14:paraId="1F63C335" w14:textId="77777777">
      <w:pPr>
        <w:pStyle w:val="Heading2"/>
        <w:jc w:val="left"/>
      </w:pPr>
      <w:r>
        <w:lastRenderedPageBreak/>
        <w:t>IV.</w:t>
      </w:r>
      <w:r>
        <w:tab/>
      </w:r>
      <w:r w:rsidR="00FA7F26">
        <w:t>Administrative Rules Oversight Committee Analysis, IC 4-22-2-28(i)</w:t>
      </w:r>
    </w:p>
    <w:p w:rsidR="00FA7F26" w:rsidP="00BD7B26" w:rsidRDefault="00FA7F26" w14:paraId="514494E8" w14:textId="77777777">
      <w:pPr>
        <w:jc w:val="left"/>
      </w:pPr>
    </w:p>
    <w:p w:rsidRPr="00FA7F26" w:rsidR="00FA7F26" w:rsidP="00BD7B26" w:rsidRDefault="00FA7F26" w14:paraId="4F115B27" w14:textId="77777777">
      <w:pPr>
        <w:ind w:left="1440" w:hanging="720"/>
        <w:jc w:val="left"/>
        <w:rPr>
          <w:b/>
        </w:rPr>
      </w:pPr>
      <w:r w:rsidRPr="00FA7F26">
        <w:rPr>
          <w:b/>
        </w:rPr>
        <w:t>A.</w:t>
      </w:r>
      <w:r w:rsidRPr="00FA7F26">
        <w:rPr>
          <w:b/>
        </w:rPr>
        <w:tab/>
      </w:r>
      <w:r w:rsidRPr="00FA7F26">
        <w:rPr>
          <w:b/>
        </w:rPr>
        <w:t>Steps to minimize expenses to regulated entities required to comply with</w:t>
      </w:r>
      <w:r>
        <w:rPr>
          <w:b/>
        </w:rPr>
        <w:t xml:space="preserve"> the</w:t>
      </w:r>
      <w:r w:rsidRPr="00FA7F26">
        <w:rPr>
          <w:b/>
        </w:rPr>
        <w:t xml:space="preserve"> rule.</w:t>
      </w:r>
    </w:p>
    <w:p w:rsidR="00FA7F26" w:rsidP="00BD7B26" w:rsidRDefault="00E01C20" w14:paraId="67E2BCF5" w14:textId="1AF00B5B">
      <w:pPr>
        <w:ind w:left="1440"/>
        <w:jc w:val="left"/>
        <w:rPr>
          <w:bCs/>
        </w:rPr>
      </w:pPr>
      <w:r>
        <w:t xml:space="preserve">As noted above, affected entities were asked for input </w:t>
      </w:r>
      <w:r w:rsidR="00637422">
        <w:t xml:space="preserve">on minimizing </w:t>
      </w:r>
      <w:r>
        <w:t>expenses.</w:t>
      </w:r>
    </w:p>
    <w:p w:rsidR="00FA7F26" w:rsidP="00BD7B26" w:rsidRDefault="00FA7F26" w14:paraId="00780263" w14:textId="77777777">
      <w:pPr>
        <w:ind w:left="1440"/>
        <w:jc w:val="left"/>
        <w:rPr>
          <w:bCs/>
        </w:rPr>
      </w:pPr>
    </w:p>
    <w:p w:rsidRPr="00FA7F26" w:rsidR="00FA7F26" w:rsidP="00BD7B26" w:rsidRDefault="00FA7F26" w14:paraId="17003B5A" w14:textId="77777777">
      <w:pPr>
        <w:ind w:left="1440" w:hanging="720"/>
        <w:jc w:val="left"/>
        <w:rPr>
          <w:b/>
        </w:rPr>
      </w:pPr>
      <w:r>
        <w:rPr>
          <w:b/>
        </w:rPr>
        <w:t>B</w:t>
      </w:r>
      <w:r w:rsidRPr="00FA7F26">
        <w:rPr>
          <w:b/>
        </w:rPr>
        <w:t>.</w:t>
      </w:r>
      <w:r w:rsidRPr="00FA7F26">
        <w:rPr>
          <w:b/>
        </w:rPr>
        <w:tab/>
      </w:r>
      <w:r>
        <w:rPr>
          <w:b/>
        </w:rPr>
        <w:t>J</w:t>
      </w:r>
      <w:r w:rsidRPr="0066509A">
        <w:rPr>
          <w:b/>
          <w:bCs/>
        </w:rPr>
        <w:t>ustification of any requirement or cost that is imposed on a regulated entity</w:t>
      </w:r>
      <w:r>
        <w:rPr>
          <w:b/>
          <w:bCs/>
        </w:rPr>
        <w:t xml:space="preserve"> under the rule.</w:t>
      </w:r>
    </w:p>
    <w:p w:rsidR="00FA7F26" w:rsidP="00BD7B26" w:rsidRDefault="00E01C20" w14:paraId="7EF1A5B0" w14:textId="77777777">
      <w:pPr>
        <w:ind w:left="1440"/>
        <w:jc w:val="left"/>
        <w:rPr>
          <w:bCs/>
        </w:rPr>
      </w:pPr>
      <w:r>
        <w:t xml:space="preserve">As noted in Paragraph II(C) above, there is no cost imposed on a regulated entity under the rule. </w:t>
      </w:r>
    </w:p>
    <w:p w:rsidR="00FA7F26" w:rsidP="00BD7B26" w:rsidRDefault="00FA7F26" w14:paraId="176E4CE9" w14:textId="77777777">
      <w:pPr>
        <w:ind w:left="1440"/>
        <w:jc w:val="left"/>
        <w:rPr>
          <w:bCs/>
        </w:rPr>
      </w:pPr>
    </w:p>
    <w:p w:rsidRPr="00FA7F26" w:rsidR="00FA7F26" w:rsidP="00BD7B26" w:rsidRDefault="00FA7F26" w14:paraId="7D893B2A" w14:textId="77777777">
      <w:pPr>
        <w:ind w:left="1440" w:hanging="720"/>
        <w:jc w:val="left"/>
        <w:rPr>
          <w:b/>
        </w:rPr>
      </w:pPr>
      <w:r>
        <w:rPr>
          <w:b/>
        </w:rPr>
        <w:t>C</w:t>
      </w:r>
      <w:r w:rsidRPr="00FA7F26">
        <w:rPr>
          <w:b/>
        </w:rPr>
        <w:t>.</w:t>
      </w:r>
      <w:r w:rsidRPr="00FA7F26">
        <w:rPr>
          <w:b/>
        </w:rPr>
        <w:tab/>
      </w:r>
      <w:r>
        <w:rPr>
          <w:b/>
        </w:rPr>
        <w:t xml:space="preserve">Annual economic impact on </w:t>
      </w:r>
      <w:r w:rsidRPr="0066509A">
        <w:rPr>
          <w:b/>
          <w:bCs/>
        </w:rPr>
        <w:t>of a rule on all small businesses after the rule is fully implemented</w:t>
      </w:r>
      <w:r>
        <w:rPr>
          <w:b/>
          <w:bCs/>
        </w:rPr>
        <w:t>.</w:t>
      </w:r>
    </w:p>
    <w:p w:rsidRPr="00FA7F26" w:rsidR="00FA7F26" w:rsidP="00BD7B26" w:rsidRDefault="00E01C20" w14:paraId="14AFC720" w14:textId="77777777">
      <w:pPr>
        <w:ind w:left="1440"/>
        <w:jc w:val="left"/>
      </w:pPr>
      <w:r>
        <w:t>None.</w:t>
      </w:r>
    </w:p>
    <w:p w:rsidR="00FA7F26" w:rsidP="00BD7B26" w:rsidRDefault="00FA7F26" w14:paraId="3676DCAF" w14:textId="77777777">
      <w:pPr>
        <w:ind w:left="1440" w:hanging="720"/>
        <w:jc w:val="left"/>
        <w:rPr>
          <w:b/>
        </w:rPr>
      </w:pPr>
    </w:p>
    <w:p w:rsidRPr="00FA7F26" w:rsidR="00FA7F26" w:rsidP="00BD7B26" w:rsidRDefault="00FA7F26" w14:paraId="08FCF90C" w14:textId="77777777">
      <w:pPr>
        <w:ind w:left="1440" w:hanging="720"/>
        <w:jc w:val="left"/>
        <w:rPr>
          <w:b/>
        </w:rPr>
      </w:pPr>
      <w:r>
        <w:rPr>
          <w:b/>
        </w:rPr>
        <w:t>D.</w:t>
      </w:r>
      <w:r>
        <w:rPr>
          <w:b/>
        </w:rPr>
        <w:tab/>
      </w:r>
      <w:r>
        <w:rPr>
          <w:b/>
        </w:rPr>
        <w:t>Review of alternative methods of achieving the purpose of the rule that are less costly or intrusive or would otherwise minimize the economic impact of the rule on small businesses</w:t>
      </w:r>
      <w:r>
        <w:rPr>
          <w:b/>
          <w:bCs/>
        </w:rPr>
        <w:t>.</w:t>
      </w:r>
    </w:p>
    <w:p w:rsidR="00FA7F26" w:rsidP="00BD7B26" w:rsidRDefault="00E01C20" w14:paraId="6BEB022C" w14:textId="07CFBF08">
      <w:pPr>
        <w:ind w:left="1440"/>
        <w:jc w:val="left"/>
      </w:pPr>
      <w:r>
        <w:t>Unnecessary</w:t>
      </w:r>
      <w:r w:rsidR="00637422">
        <w:t>,</w:t>
      </w:r>
      <w:r>
        <w:t xml:space="preserve"> as there is no economic impact of the rule on small businesses. </w:t>
      </w:r>
    </w:p>
    <w:p w:rsidR="00FA7F26" w:rsidP="00BD7B26" w:rsidRDefault="00FA7F26" w14:paraId="31BF3065" w14:textId="77777777">
      <w:pPr>
        <w:ind w:left="720"/>
        <w:jc w:val="left"/>
      </w:pPr>
    </w:p>
    <w:p w:rsidR="00FA7F26" w:rsidP="00BD7B26" w:rsidRDefault="00FA7F26" w14:paraId="0EB06770" w14:textId="77777777">
      <w:pPr>
        <w:ind w:left="1440" w:hanging="720"/>
        <w:jc w:val="left"/>
        <w:rPr>
          <w:b/>
        </w:rPr>
      </w:pPr>
      <w:r>
        <w:rPr>
          <w:b/>
        </w:rPr>
        <w:t>E.</w:t>
      </w:r>
      <w:r>
        <w:rPr>
          <w:b/>
        </w:rPr>
        <w:tab/>
      </w:r>
      <w:r>
        <w:rPr>
          <w:b/>
        </w:rPr>
        <w:t xml:space="preserve">Consideration of any other law </w:t>
      </w:r>
      <w:r w:rsidRPr="0066509A">
        <w:rPr>
          <w:b/>
          <w:bCs/>
        </w:rPr>
        <w:t>to conduct an analysis of the cost, economic impact</w:t>
      </w:r>
      <w:r>
        <w:rPr>
          <w:b/>
          <w:bCs/>
        </w:rPr>
        <w:t>, or fiscal impact of a rule</w:t>
      </w:r>
      <w:r w:rsidRPr="0066509A">
        <w:rPr>
          <w:b/>
          <w:bCs/>
        </w:rPr>
        <w:t>.</w:t>
      </w:r>
      <w:r>
        <w:rPr>
          <w:b/>
        </w:rPr>
        <w:t xml:space="preserve"> </w:t>
      </w:r>
    </w:p>
    <w:p w:rsidRPr="00FA7F26" w:rsidR="00FA7F26" w:rsidP="00BD7B26" w:rsidRDefault="00FA7F26" w14:paraId="207CF7E0" w14:textId="77777777">
      <w:pPr>
        <w:ind w:left="2160" w:hanging="720"/>
        <w:jc w:val="left"/>
      </w:pPr>
      <w:r>
        <w:t>This statement considers all required fiscal analysis pursuant to IC 4-22.</w:t>
      </w:r>
    </w:p>
    <w:p w:rsidRPr="00FA7F26" w:rsidR="00FA7F26" w:rsidP="00BD7B26" w:rsidRDefault="00FA7F26" w14:paraId="753E0B16" w14:textId="77777777">
      <w:pPr>
        <w:ind w:left="1440"/>
        <w:jc w:val="left"/>
      </w:pPr>
    </w:p>
    <w:p w:rsidR="00D515A2" w:rsidP="00BD7B26" w:rsidRDefault="00FA7F26" w14:paraId="683C4C77" w14:textId="77777777">
      <w:pPr>
        <w:pStyle w:val="Heading2"/>
        <w:jc w:val="left"/>
      </w:pPr>
      <w:r>
        <w:t>V.</w:t>
      </w:r>
      <w:r>
        <w:tab/>
      </w:r>
      <w:r w:rsidR="00597A82">
        <w:t>Total Estimated Impact.</w:t>
      </w:r>
    </w:p>
    <w:p w:rsidR="00E01C20" w:rsidP="008131F0" w:rsidRDefault="00E01C20" w14:paraId="6C4E6CA3" w14:textId="05F05CBB">
      <w:pPr>
        <w:ind w:left="720"/>
        <w:jc w:val="left"/>
      </w:pPr>
      <w:r>
        <w:t xml:space="preserve">As noted above, data in this analysis came </w:t>
      </w:r>
      <w:bookmarkStart w:name="_GoBack" w:id="0"/>
      <w:bookmarkEnd w:id="0"/>
      <w:r>
        <w:t>from Commission staff</w:t>
      </w:r>
      <w:r w:rsidR="00FC56EB">
        <w:t>’</w:t>
      </w:r>
      <w:r>
        <w:t xml:space="preserve">s experience along with feedback from affected entities. </w:t>
      </w:r>
    </w:p>
    <w:p w:rsidR="00597A82" w:rsidP="00BD7B26" w:rsidRDefault="00597A82" w14:paraId="17AA8947" w14:textId="77777777">
      <w:pPr>
        <w:ind w:left="720"/>
        <w:jc w:val="left"/>
      </w:pPr>
    </w:p>
    <w:p w:rsidR="00597A82" w:rsidP="00BD7B26" w:rsidRDefault="00597A82" w14:paraId="0461172D" w14:textId="5FA3F6B7">
      <w:pPr>
        <w:ind w:left="720"/>
        <w:jc w:val="left"/>
      </w:pPr>
      <w:r>
        <w:t xml:space="preserve">The total estimated </w:t>
      </w:r>
      <w:r w:rsidRPr="00E01C20">
        <w:t xml:space="preserve">impact is </w:t>
      </w:r>
      <w:r w:rsidRPr="00E01C20">
        <w:rPr>
          <w:b/>
          <w:u w:val="single"/>
        </w:rPr>
        <w:t>NOT</w:t>
      </w:r>
      <w:r w:rsidRPr="00E01C20">
        <w:t xml:space="preserve"> greater</w:t>
      </w:r>
      <w:r>
        <w:t xml:space="preserve"> than </w:t>
      </w:r>
      <w:r w:rsidR="00B00356">
        <w:t>$500,000</w:t>
      </w:r>
      <w:r w:rsidR="00A6586C">
        <w:t xml:space="preserve"> </w:t>
      </w:r>
      <w:r w:rsidR="002C18EF">
        <w:t>on all regulated persons</w:t>
      </w:r>
      <w:r>
        <w:t>.</w:t>
      </w:r>
      <w:r w:rsidR="002A21E6">
        <w:t xml:space="preserve"> </w:t>
      </w:r>
      <w:r w:rsidR="00E01C20">
        <w:t xml:space="preserve">The total estimated impact is a net savings of at </w:t>
      </w:r>
      <w:r w:rsidRPr="00E01C20" w:rsidR="00E01C20">
        <w:t>least $107,068.</w:t>
      </w:r>
      <w:r w:rsidR="00E01C20">
        <w:rPr>
          <w:b/>
        </w:rPr>
        <w:t xml:space="preserve"> </w:t>
      </w:r>
    </w:p>
    <w:p w:rsidR="00597A82" w:rsidP="00BD7B26" w:rsidRDefault="00597A82" w14:paraId="1BC2DD89" w14:textId="77777777">
      <w:pPr>
        <w:ind w:left="720"/>
        <w:jc w:val="left"/>
      </w:pPr>
    </w:p>
    <w:p w:rsidR="00B00356" w:rsidP="00BD7B26" w:rsidRDefault="002C18EF" w14:paraId="1DB98F7D" w14:textId="77777777">
      <w:pPr>
        <w:ind w:left="720"/>
        <w:jc w:val="left"/>
      </w:pPr>
      <w:r>
        <w:t xml:space="preserve"> </w:t>
      </w:r>
    </w:p>
    <w:p w:rsidRPr="00377E76" w:rsidR="00016DB0" w:rsidP="00BD7B26" w:rsidRDefault="00016DB0" w14:paraId="72C26328" w14:textId="77777777">
      <w:pPr>
        <w:jc w:val="left"/>
      </w:pPr>
    </w:p>
    <w:sectPr w:rsidRPr="00377E76" w:rsidR="00016DB0" w:rsidSect="00591414">
      <w:footerReference w:type="default" r:id="rId8"/>
      <w:type w:val="continuous"/>
      <w:pgSz w:w="12240" w:h="15840" w:orient="portrait"/>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F26" w:rsidP="00A07EFF" w:rsidRDefault="00FA7F26" w14:paraId="503BFBC0" w14:textId="77777777">
      <w:r>
        <w:separator/>
      </w:r>
    </w:p>
  </w:endnote>
  <w:endnote w:type="continuationSeparator" w:id="0">
    <w:p w:rsidR="00FA7F26" w:rsidP="00A07EFF" w:rsidRDefault="00FA7F26" w14:paraId="34403D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011696"/>
      <w:docPartObj>
        <w:docPartGallery w:val="Page Numbers (Bottom of Page)"/>
        <w:docPartUnique/>
      </w:docPartObj>
    </w:sdtPr>
    <w:sdtEndPr/>
    <w:sdtContent>
      <w:sdt>
        <w:sdtPr>
          <w:id w:val="565050477"/>
          <w:docPartObj>
            <w:docPartGallery w:val="Page Numbers (Top of Page)"/>
            <w:docPartUnique/>
          </w:docPartObj>
        </w:sdtPr>
        <w:sdtEndPr/>
        <w:sdtContent>
          <w:p w:rsidR="00FA7F26" w:rsidP="00E01C20" w:rsidRDefault="00FA7F26" w14:paraId="2550CE65" w14:textId="77777777">
            <w:pPr>
              <w:pStyle w:val="Footer"/>
              <w:jc w:val="center"/>
            </w:pPr>
            <w:r>
              <w:t xml:space="preserve">Page </w:t>
            </w:r>
            <w:r w:rsidR="00B25669">
              <w:rPr>
                <w:noProof/>
              </w:rPr>
              <w:fldChar w:fldCharType="begin"/>
            </w:r>
            <w:r w:rsidR="00B25669">
              <w:rPr>
                <w:noProof/>
              </w:rPr>
              <w:instrText xml:space="preserve"> PAGE </w:instrText>
            </w:r>
            <w:r w:rsidR="00B25669">
              <w:rPr>
                <w:noProof/>
              </w:rPr>
              <w:fldChar w:fldCharType="separate"/>
            </w:r>
            <w:r w:rsidR="00AA7CD7">
              <w:rPr>
                <w:noProof/>
              </w:rPr>
              <w:t>6</w:t>
            </w:r>
            <w:r w:rsidR="00B25669">
              <w:rPr>
                <w:noProof/>
              </w:rPr>
              <w:fldChar w:fldCharType="end"/>
            </w:r>
            <w:r>
              <w:t xml:space="preserve"> of </w:t>
            </w:r>
            <w:r w:rsidR="00B25669">
              <w:rPr>
                <w:noProof/>
              </w:rPr>
              <w:fldChar w:fldCharType="begin"/>
            </w:r>
            <w:r w:rsidR="00B25669">
              <w:rPr>
                <w:noProof/>
              </w:rPr>
              <w:instrText xml:space="preserve"> NUMPAGES  </w:instrText>
            </w:r>
            <w:r w:rsidR="00B25669">
              <w:rPr>
                <w:noProof/>
              </w:rPr>
              <w:fldChar w:fldCharType="separate"/>
            </w:r>
            <w:r w:rsidR="00AA7CD7">
              <w:rPr>
                <w:noProof/>
              </w:rPr>
              <w:t>7</w:t>
            </w:r>
            <w:r w:rsidR="00B25669">
              <w:rPr>
                <w:noProof/>
              </w:rPr>
              <w:fldChar w:fldCharType="end"/>
            </w:r>
          </w:p>
        </w:sdtContent>
      </w:sdt>
    </w:sdtContent>
  </w:sdt>
  <w:p w:rsidR="00FA7F26" w:rsidP="00A07EFF" w:rsidRDefault="00FA7F26" w14:paraId="280AC173"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F26" w:rsidP="00A07EFF" w:rsidRDefault="00FA7F26" w14:paraId="424A8147" w14:textId="77777777">
      <w:r>
        <w:separator/>
      </w:r>
    </w:p>
  </w:footnote>
  <w:footnote w:type="continuationSeparator" w:id="0">
    <w:p w:rsidR="00FA7F26" w:rsidP="00A07EFF" w:rsidRDefault="00FA7F26" w14:paraId="3E592F1B"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CED"/>
    <w:multiLevelType w:val="hybridMultilevel"/>
    <w:tmpl w:val="F076A8B4"/>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32472E"/>
    <w:multiLevelType w:val="singleLevel"/>
    <w:tmpl w:val="46729AA7"/>
    <w:lvl w:ilvl="0">
      <w:numFmt w:val="bullet"/>
      <w:lvlText w:val="·"/>
      <w:lvlJc w:val="left"/>
      <w:pPr>
        <w:tabs>
          <w:tab w:val="num" w:pos="360"/>
        </w:tabs>
        <w:ind w:left="432"/>
      </w:pPr>
      <w:rPr>
        <w:rFonts w:ascii="Symbol" w:hAnsi="Symbol" w:cs="Symbol"/>
        <w:snapToGrid/>
        <w:sz w:val="24"/>
        <w:szCs w:val="24"/>
      </w:rPr>
    </w:lvl>
  </w:abstractNum>
  <w:abstractNum w:abstractNumId="2" w15:restartNumberingAfterBreak="0">
    <w:nsid w:val="06662B9E"/>
    <w:multiLevelType w:val="hybridMultilevel"/>
    <w:tmpl w:val="357AFBAC"/>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83482A"/>
    <w:multiLevelType w:val="hybridMultilevel"/>
    <w:tmpl w:val="BED0D9DC"/>
    <w:lvl w:ilvl="0" w:tplc="CBD685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C44EA6"/>
    <w:multiLevelType w:val="hybridMultilevel"/>
    <w:tmpl w:val="7880579E"/>
    <w:lvl w:ilvl="0" w:tplc="B8784A02">
      <w:start w:val="1"/>
      <w:numFmt w:val="decimal"/>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DF132A"/>
    <w:multiLevelType w:val="hybridMultilevel"/>
    <w:tmpl w:val="E118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1777B"/>
    <w:multiLevelType w:val="hybridMultilevel"/>
    <w:tmpl w:val="9EB27E5C"/>
    <w:lvl w:ilvl="0" w:tplc="F01C22C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BCA1EB0"/>
    <w:multiLevelType w:val="hybridMultilevel"/>
    <w:tmpl w:val="6AAA6FE4"/>
    <w:lvl w:ilvl="0" w:tplc="1B969C9A">
      <w:start w:val="1"/>
      <w:numFmt w:val="upperLetter"/>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0432D8"/>
    <w:multiLevelType w:val="hybridMultilevel"/>
    <w:tmpl w:val="D35C08B4"/>
    <w:lvl w:ilvl="0" w:tplc="30B0298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2530F"/>
    <w:multiLevelType w:val="hybridMultilevel"/>
    <w:tmpl w:val="69345F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700DC6"/>
    <w:multiLevelType w:val="hybridMultilevel"/>
    <w:tmpl w:val="CF8A9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7E2A19"/>
    <w:multiLevelType w:val="hybridMultilevel"/>
    <w:tmpl w:val="80222F4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2" w15:restartNumberingAfterBreak="0">
    <w:nsid w:val="575F2DE4"/>
    <w:multiLevelType w:val="hybridMultilevel"/>
    <w:tmpl w:val="357AFBAC"/>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645F78"/>
    <w:multiLevelType w:val="hybridMultilevel"/>
    <w:tmpl w:val="F076A8B4"/>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0528B7"/>
    <w:multiLevelType w:val="hybridMultilevel"/>
    <w:tmpl w:val="6CBA9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EE106D"/>
    <w:multiLevelType w:val="hybridMultilevel"/>
    <w:tmpl w:val="357AFBAC"/>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432FDA"/>
    <w:multiLevelType w:val="hybridMultilevel"/>
    <w:tmpl w:val="69345F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EF24C8"/>
    <w:multiLevelType w:val="hybridMultilevel"/>
    <w:tmpl w:val="F076A8B4"/>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D46464C"/>
    <w:multiLevelType w:val="hybridMultilevel"/>
    <w:tmpl w:val="464638C8"/>
    <w:lvl w:ilvl="0" w:tplc="20EC76C0">
      <w:start w:val="1"/>
      <w:numFmt w:val="decimal"/>
      <w:lvlText w:val="%1)"/>
      <w:lvlJc w:val="left"/>
      <w:pPr>
        <w:ind w:left="1080" w:hanging="360"/>
      </w:pPr>
      <w:rPr>
        <w:rFonts w:hint="default"/>
      </w:rPr>
    </w:lvl>
    <w:lvl w:ilvl="1" w:tplc="AEB87DA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A066EB"/>
    <w:multiLevelType w:val="hybridMultilevel"/>
    <w:tmpl w:val="F076A8B4"/>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lvl w:ilvl="0">
        <w:numFmt w:val="bullet"/>
        <w:lvlText w:val="·"/>
        <w:lvlJc w:val="left"/>
        <w:pPr>
          <w:tabs>
            <w:tab w:val="num" w:pos="432"/>
          </w:tabs>
          <w:ind w:left="792" w:hanging="432"/>
        </w:pPr>
        <w:rPr>
          <w:rFonts w:ascii="Symbol" w:hAnsi="Symbol" w:cs="Symbol"/>
          <w:b/>
          <w:bCs/>
          <w:snapToGrid/>
          <w:spacing w:val="-4"/>
          <w:sz w:val="24"/>
          <w:szCs w:val="24"/>
        </w:rPr>
      </w:lvl>
    </w:lvlOverride>
  </w:num>
  <w:num w:numId="3">
    <w:abstractNumId w:val="1"/>
    <w:lvlOverride w:ilvl="0">
      <w:lvl w:ilvl="0">
        <w:numFmt w:val="bullet"/>
        <w:lvlText w:val="·"/>
        <w:lvlJc w:val="left"/>
        <w:pPr>
          <w:tabs>
            <w:tab w:val="num" w:pos="432"/>
          </w:tabs>
          <w:ind w:left="720" w:hanging="432"/>
        </w:pPr>
        <w:rPr>
          <w:rFonts w:ascii="Symbol" w:hAnsi="Symbol" w:cs="Symbol"/>
          <w:snapToGrid/>
          <w:spacing w:val="-3"/>
          <w:sz w:val="24"/>
          <w:szCs w:val="24"/>
        </w:rPr>
      </w:lvl>
    </w:lvlOverride>
  </w:num>
  <w:num w:numId="4">
    <w:abstractNumId w:val="1"/>
    <w:lvlOverride w:ilvl="0">
      <w:lvl w:ilvl="0">
        <w:numFmt w:val="bullet"/>
        <w:lvlText w:val="·"/>
        <w:lvlJc w:val="left"/>
        <w:pPr>
          <w:tabs>
            <w:tab w:val="num" w:pos="360"/>
          </w:tabs>
          <w:ind w:left="648" w:hanging="360"/>
        </w:pPr>
        <w:rPr>
          <w:rFonts w:ascii="Symbol" w:hAnsi="Symbol" w:cs="Symbol"/>
          <w:snapToGrid/>
          <w:spacing w:val="-4"/>
          <w:sz w:val="24"/>
          <w:szCs w:val="24"/>
        </w:rPr>
      </w:lvl>
    </w:lvlOverride>
  </w:num>
  <w:num w:numId="5">
    <w:abstractNumId w:val="1"/>
    <w:lvlOverride w:ilvl="0">
      <w:lvl w:ilvl="0">
        <w:numFmt w:val="bullet"/>
        <w:lvlText w:val="·"/>
        <w:lvlJc w:val="left"/>
        <w:pPr>
          <w:tabs>
            <w:tab w:val="num" w:pos="360"/>
          </w:tabs>
          <w:ind w:left="648" w:hanging="360"/>
        </w:pPr>
        <w:rPr>
          <w:rFonts w:ascii="Symbol" w:hAnsi="Symbol" w:cs="Symbol"/>
          <w:snapToGrid/>
          <w:spacing w:val="-2"/>
          <w:sz w:val="24"/>
          <w:szCs w:val="24"/>
          <w:u w:val="single"/>
        </w:rPr>
      </w:lvl>
    </w:lvlOverride>
  </w:num>
  <w:num w:numId="6">
    <w:abstractNumId w:val="6"/>
  </w:num>
  <w:num w:numId="7">
    <w:abstractNumId w:val="3"/>
  </w:num>
  <w:num w:numId="8">
    <w:abstractNumId w:val="18"/>
  </w:num>
  <w:num w:numId="9">
    <w:abstractNumId w:val="10"/>
  </w:num>
  <w:num w:numId="10">
    <w:abstractNumId w:val="14"/>
  </w:num>
  <w:num w:numId="11">
    <w:abstractNumId w:val="8"/>
  </w:num>
  <w:num w:numId="12">
    <w:abstractNumId w:val="7"/>
  </w:num>
  <w:num w:numId="13">
    <w:abstractNumId w:val="9"/>
  </w:num>
  <w:num w:numId="14">
    <w:abstractNumId w:val="15"/>
  </w:num>
  <w:num w:numId="15">
    <w:abstractNumId w:val="0"/>
  </w:num>
  <w:num w:numId="16">
    <w:abstractNumId w:val="19"/>
  </w:num>
  <w:num w:numId="17">
    <w:abstractNumId w:val="7"/>
    <w:lvlOverride w:ilvl="0">
      <w:startOverride w:val="1"/>
    </w:lvlOverride>
  </w:num>
  <w:num w:numId="18">
    <w:abstractNumId w:val="16"/>
  </w:num>
  <w:num w:numId="19">
    <w:abstractNumId w:val="2"/>
  </w:num>
  <w:num w:numId="20">
    <w:abstractNumId w:val="17"/>
  </w:num>
  <w:num w:numId="21">
    <w:abstractNumId w:val="13"/>
  </w:num>
  <w:num w:numId="22">
    <w:abstractNumId w:val="12"/>
  </w:num>
  <w:num w:numId="23">
    <w:abstractNumId w:val="7"/>
    <w:lvlOverride w:ilvl="0">
      <w:startOverride w:val="1"/>
    </w:lvlOverride>
  </w:num>
  <w:num w:numId="24">
    <w:abstractNumId w:val="4"/>
  </w:num>
  <w:num w:numId="25">
    <w:abstractNumId w:val="4"/>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11"/>
  </w:num>
  <w:num w:numId="2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5057">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F9"/>
    <w:rsid w:val="000129C8"/>
    <w:rsid w:val="00016DB0"/>
    <w:rsid w:val="00032F54"/>
    <w:rsid w:val="00083666"/>
    <w:rsid w:val="00093C2A"/>
    <w:rsid w:val="000A44FF"/>
    <w:rsid w:val="000B1206"/>
    <w:rsid w:val="000B212D"/>
    <w:rsid w:val="000C05BD"/>
    <w:rsid w:val="000E181D"/>
    <w:rsid w:val="000E415B"/>
    <w:rsid w:val="000F0D2F"/>
    <w:rsid w:val="000F6CC7"/>
    <w:rsid w:val="0010136E"/>
    <w:rsid w:val="00107913"/>
    <w:rsid w:val="00111159"/>
    <w:rsid w:val="00114D2B"/>
    <w:rsid w:val="00126F31"/>
    <w:rsid w:val="00131231"/>
    <w:rsid w:val="001312F4"/>
    <w:rsid w:val="00135FA4"/>
    <w:rsid w:val="00140178"/>
    <w:rsid w:val="00197E03"/>
    <w:rsid w:val="001B7F61"/>
    <w:rsid w:val="001C2006"/>
    <w:rsid w:val="001C6F5D"/>
    <w:rsid w:val="001D060D"/>
    <w:rsid w:val="001D0FC2"/>
    <w:rsid w:val="001E0BAF"/>
    <w:rsid w:val="001E7CE3"/>
    <w:rsid w:val="002063F9"/>
    <w:rsid w:val="002211F3"/>
    <w:rsid w:val="00265A43"/>
    <w:rsid w:val="00283D85"/>
    <w:rsid w:val="0028717C"/>
    <w:rsid w:val="00291BDA"/>
    <w:rsid w:val="002A21E6"/>
    <w:rsid w:val="002C18EF"/>
    <w:rsid w:val="002C57DC"/>
    <w:rsid w:val="002C6F46"/>
    <w:rsid w:val="002E507B"/>
    <w:rsid w:val="00305CAB"/>
    <w:rsid w:val="003169F6"/>
    <w:rsid w:val="00317F37"/>
    <w:rsid w:val="0033179B"/>
    <w:rsid w:val="00344E13"/>
    <w:rsid w:val="00374BC7"/>
    <w:rsid w:val="00377E76"/>
    <w:rsid w:val="0038254E"/>
    <w:rsid w:val="003964D1"/>
    <w:rsid w:val="003B3284"/>
    <w:rsid w:val="003B338F"/>
    <w:rsid w:val="003C77FE"/>
    <w:rsid w:val="003D532D"/>
    <w:rsid w:val="003F6B1A"/>
    <w:rsid w:val="00403373"/>
    <w:rsid w:val="0040572A"/>
    <w:rsid w:val="00427AA8"/>
    <w:rsid w:val="00445CDE"/>
    <w:rsid w:val="00453BA2"/>
    <w:rsid w:val="004676B6"/>
    <w:rsid w:val="00470738"/>
    <w:rsid w:val="00495311"/>
    <w:rsid w:val="00496352"/>
    <w:rsid w:val="004C1BC8"/>
    <w:rsid w:val="004D6BA2"/>
    <w:rsid w:val="004E2BB5"/>
    <w:rsid w:val="004E7DF7"/>
    <w:rsid w:val="00504761"/>
    <w:rsid w:val="005065B0"/>
    <w:rsid w:val="00536A41"/>
    <w:rsid w:val="00537D38"/>
    <w:rsid w:val="0056749B"/>
    <w:rsid w:val="00571006"/>
    <w:rsid w:val="00591414"/>
    <w:rsid w:val="00597A82"/>
    <w:rsid w:val="005A6691"/>
    <w:rsid w:val="005B19EE"/>
    <w:rsid w:val="005B4533"/>
    <w:rsid w:val="005B4E0E"/>
    <w:rsid w:val="005C38E8"/>
    <w:rsid w:val="005E017C"/>
    <w:rsid w:val="005E2010"/>
    <w:rsid w:val="005E2E57"/>
    <w:rsid w:val="005E6D8D"/>
    <w:rsid w:val="005E74F1"/>
    <w:rsid w:val="00602270"/>
    <w:rsid w:val="00604AB1"/>
    <w:rsid w:val="0061033E"/>
    <w:rsid w:val="00614CEE"/>
    <w:rsid w:val="00625B78"/>
    <w:rsid w:val="006332D1"/>
    <w:rsid w:val="006341E6"/>
    <w:rsid w:val="006358D8"/>
    <w:rsid w:val="00637422"/>
    <w:rsid w:val="00641598"/>
    <w:rsid w:val="00653FB3"/>
    <w:rsid w:val="00656A5F"/>
    <w:rsid w:val="006702C4"/>
    <w:rsid w:val="00684F82"/>
    <w:rsid w:val="006A10F6"/>
    <w:rsid w:val="006A3683"/>
    <w:rsid w:val="006B2DD9"/>
    <w:rsid w:val="006C5AF2"/>
    <w:rsid w:val="006E3330"/>
    <w:rsid w:val="006F7A36"/>
    <w:rsid w:val="00714E25"/>
    <w:rsid w:val="0073395E"/>
    <w:rsid w:val="00734907"/>
    <w:rsid w:val="00740BDC"/>
    <w:rsid w:val="007527C7"/>
    <w:rsid w:val="00760C3F"/>
    <w:rsid w:val="00765B43"/>
    <w:rsid w:val="007724D5"/>
    <w:rsid w:val="007809DC"/>
    <w:rsid w:val="00785543"/>
    <w:rsid w:val="0079318D"/>
    <w:rsid w:val="00794C1E"/>
    <w:rsid w:val="00795B61"/>
    <w:rsid w:val="007B0089"/>
    <w:rsid w:val="007C4F2E"/>
    <w:rsid w:val="007D0367"/>
    <w:rsid w:val="007D7C64"/>
    <w:rsid w:val="007F7154"/>
    <w:rsid w:val="008131F0"/>
    <w:rsid w:val="00817492"/>
    <w:rsid w:val="008268DF"/>
    <w:rsid w:val="00833424"/>
    <w:rsid w:val="0083394E"/>
    <w:rsid w:val="00857639"/>
    <w:rsid w:val="00857C03"/>
    <w:rsid w:val="00861256"/>
    <w:rsid w:val="00863EF6"/>
    <w:rsid w:val="008762B9"/>
    <w:rsid w:val="00881361"/>
    <w:rsid w:val="00893B1D"/>
    <w:rsid w:val="008B577F"/>
    <w:rsid w:val="008C2F5C"/>
    <w:rsid w:val="008D205C"/>
    <w:rsid w:val="008D401C"/>
    <w:rsid w:val="008E6FC5"/>
    <w:rsid w:val="00900C9A"/>
    <w:rsid w:val="00923BFA"/>
    <w:rsid w:val="0092672B"/>
    <w:rsid w:val="00945EC3"/>
    <w:rsid w:val="00951897"/>
    <w:rsid w:val="00952128"/>
    <w:rsid w:val="009635DD"/>
    <w:rsid w:val="00964550"/>
    <w:rsid w:val="00965469"/>
    <w:rsid w:val="009A66E5"/>
    <w:rsid w:val="009C536E"/>
    <w:rsid w:val="009C5514"/>
    <w:rsid w:val="009C7351"/>
    <w:rsid w:val="009D273B"/>
    <w:rsid w:val="009E3808"/>
    <w:rsid w:val="009F1214"/>
    <w:rsid w:val="00A06470"/>
    <w:rsid w:val="00A07EFF"/>
    <w:rsid w:val="00A10355"/>
    <w:rsid w:val="00A133F8"/>
    <w:rsid w:val="00A3513A"/>
    <w:rsid w:val="00A5354A"/>
    <w:rsid w:val="00A60E8F"/>
    <w:rsid w:val="00A6108B"/>
    <w:rsid w:val="00A6586C"/>
    <w:rsid w:val="00A76600"/>
    <w:rsid w:val="00A802AD"/>
    <w:rsid w:val="00A8795C"/>
    <w:rsid w:val="00A8797C"/>
    <w:rsid w:val="00AA0285"/>
    <w:rsid w:val="00AA0ABD"/>
    <w:rsid w:val="00AA7CD7"/>
    <w:rsid w:val="00AC1ACE"/>
    <w:rsid w:val="00AC441A"/>
    <w:rsid w:val="00AE044A"/>
    <w:rsid w:val="00B00356"/>
    <w:rsid w:val="00B01CE7"/>
    <w:rsid w:val="00B0554A"/>
    <w:rsid w:val="00B25669"/>
    <w:rsid w:val="00B270A0"/>
    <w:rsid w:val="00B47674"/>
    <w:rsid w:val="00B478ED"/>
    <w:rsid w:val="00B5726E"/>
    <w:rsid w:val="00B94DA2"/>
    <w:rsid w:val="00BA5AF1"/>
    <w:rsid w:val="00BA6C9A"/>
    <w:rsid w:val="00BA6FB4"/>
    <w:rsid w:val="00BB6D4F"/>
    <w:rsid w:val="00BC58DB"/>
    <w:rsid w:val="00BD368D"/>
    <w:rsid w:val="00BD7B26"/>
    <w:rsid w:val="00C04A48"/>
    <w:rsid w:val="00C14159"/>
    <w:rsid w:val="00C179A3"/>
    <w:rsid w:val="00C3275E"/>
    <w:rsid w:val="00C471BC"/>
    <w:rsid w:val="00C72235"/>
    <w:rsid w:val="00C73FEA"/>
    <w:rsid w:val="00C76B4E"/>
    <w:rsid w:val="00C77CBF"/>
    <w:rsid w:val="00C80013"/>
    <w:rsid w:val="00C82BC3"/>
    <w:rsid w:val="00C835C5"/>
    <w:rsid w:val="00C921B1"/>
    <w:rsid w:val="00CD4C6B"/>
    <w:rsid w:val="00D1141D"/>
    <w:rsid w:val="00D16407"/>
    <w:rsid w:val="00D25983"/>
    <w:rsid w:val="00D308AB"/>
    <w:rsid w:val="00D31857"/>
    <w:rsid w:val="00D515A2"/>
    <w:rsid w:val="00D67D4A"/>
    <w:rsid w:val="00D73674"/>
    <w:rsid w:val="00D74022"/>
    <w:rsid w:val="00DA0C23"/>
    <w:rsid w:val="00DB6D2B"/>
    <w:rsid w:val="00DF6610"/>
    <w:rsid w:val="00E01C20"/>
    <w:rsid w:val="00E066C6"/>
    <w:rsid w:val="00E1151A"/>
    <w:rsid w:val="00E126DC"/>
    <w:rsid w:val="00E12CBC"/>
    <w:rsid w:val="00E217B7"/>
    <w:rsid w:val="00E34F38"/>
    <w:rsid w:val="00E53450"/>
    <w:rsid w:val="00E63AD7"/>
    <w:rsid w:val="00E64C3E"/>
    <w:rsid w:val="00E760BD"/>
    <w:rsid w:val="00E77ABC"/>
    <w:rsid w:val="00E97DEF"/>
    <w:rsid w:val="00ED36AB"/>
    <w:rsid w:val="00EF2C69"/>
    <w:rsid w:val="00EF3FB9"/>
    <w:rsid w:val="00F1030B"/>
    <w:rsid w:val="00F208EB"/>
    <w:rsid w:val="00F23F7E"/>
    <w:rsid w:val="00F37D78"/>
    <w:rsid w:val="00F563DB"/>
    <w:rsid w:val="00F617A4"/>
    <w:rsid w:val="00F62346"/>
    <w:rsid w:val="00F73292"/>
    <w:rsid w:val="00F74C70"/>
    <w:rsid w:val="00F76BCE"/>
    <w:rsid w:val="00F82619"/>
    <w:rsid w:val="00F92153"/>
    <w:rsid w:val="00FA09AA"/>
    <w:rsid w:val="00FA1C5C"/>
    <w:rsid w:val="00FA7F26"/>
    <w:rsid w:val="00FC56EB"/>
    <w:rsid w:val="00FD3EAC"/>
    <w:rsid w:val="00FE2CDC"/>
    <w:rsid w:val="00FE5D4A"/>
    <w:rsid w:val="27C6F35B"/>
    <w:rsid w:val="28D8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colormenu v:ext="edit" fillcolor="none"/>
    </o:shapedefaults>
    <o:shapelayout v:ext="edit">
      <o:idmap v:ext="edit" data="1"/>
    </o:shapelayout>
  </w:shapeDefaults>
  <w:decimalSymbol w:val="."/>
  <w:listSeparator w:val=","/>
  <w14:docId w14:val="199F179A"/>
  <w15:docId w15:val="{3D54946D-64E3-4968-A494-2D64AD16E9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99"/>
    <w:qFormat/>
    <w:rsid w:val="00A07EFF"/>
    <w:pPr>
      <w:widowControl w:val="0"/>
      <w:autoSpaceDE w:val="0"/>
      <w:autoSpaceDN w:val="0"/>
      <w:adjustRightInd w:val="0"/>
      <w:jc w:val="both"/>
    </w:pPr>
    <w:rPr>
      <w:rFonts w:ascii="Times New Roman" w:hAnsi="Times New Roman"/>
      <w:sz w:val="24"/>
      <w:szCs w:val="24"/>
    </w:rPr>
  </w:style>
  <w:style w:type="paragraph" w:styleId="Heading1">
    <w:name w:val="heading 1"/>
    <w:basedOn w:val="Normal"/>
    <w:next w:val="Normal"/>
    <w:link w:val="Heading1Char"/>
    <w:uiPriority w:val="9"/>
    <w:qFormat/>
    <w:rsid w:val="00A07EFF"/>
    <w:pPr>
      <w:keepNext/>
      <w:keepLines/>
      <w:spacing w:before="240"/>
      <w:jc w:val="center"/>
      <w:outlineLvl w:val="0"/>
    </w:pPr>
    <w:rPr>
      <w:rFonts w:asciiTheme="majorHAnsi" w:hAnsiTheme="majorHAnsi" w:eastAsiaTheme="majorEastAsia" w:cstheme="majorBidi"/>
      <w:b/>
      <w:bCs/>
      <w:sz w:val="28"/>
      <w:szCs w:val="28"/>
    </w:rPr>
  </w:style>
  <w:style w:type="paragraph" w:styleId="Heading2">
    <w:name w:val="heading 2"/>
    <w:basedOn w:val="Normal"/>
    <w:next w:val="Normal"/>
    <w:link w:val="Heading2Char"/>
    <w:uiPriority w:val="9"/>
    <w:unhideWhenUsed/>
    <w:qFormat/>
    <w:rsid w:val="000F0D2F"/>
    <w:pPr>
      <w:keepNext/>
      <w:keepLines/>
      <w:spacing w:before="200"/>
      <w:outlineLvl w:val="1"/>
    </w:pPr>
    <w:rPr>
      <w:rFonts w:eastAsiaTheme="majorEastAsia"/>
      <w:b/>
      <w:bCs/>
    </w:rPr>
  </w:style>
  <w:style w:type="paragraph" w:styleId="Heading3">
    <w:name w:val="heading 3"/>
    <w:basedOn w:val="Normal"/>
    <w:next w:val="Normal"/>
    <w:link w:val="Heading3Char"/>
    <w:uiPriority w:val="9"/>
    <w:unhideWhenUsed/>
    <w:qFormat/>
    <w:rsid w:val="00A76600"/>
    <w:pPr>
      <w:keepNext/>
      <w:keepLines/>
      <w:numPr>
        <w:numId w:val="12"/>
      </w:numPr>
      <w:spacing w:before="240" w:after="60"/>
      <w:ind w:hanging="720"/>
      <w:outlineLvl w:val="2"/>
    </w:pPr>
    <w:rPr>
      <w:rFonts w:eastAsiaTheme="majorEastAsia"/>
      <w:b/>
      <w:bCs/>
    </w:rPr>
  </w:style>
  <w:style w:type="paragraph" w:styleId="Heading4">
    <w:name w:val="heading 4"/>
    <w:basedOn w:val="Normal"/>
    <w:next w:val="Normal"/>
    <w:link w:val="Heading4Char"/>
    <w:uiPriority w:val="9"/>
    <w:unhideWhenUsed/>
    <w:qFormat/>
    <w:rsid w:val="00A76600"/>
    <w:pPr>
      <w:keepNext/>
      <w:keepLines/>
      <w:numPr>
        <w:numId w:val="24"/>
      </w:numPr>
      <w:spacing w:before="240" w:after="60"/>
      <w:ind w:hanging="720"/>
      <w:outlineLvl w:val="3"/>
    </w:pPr>
    <w:rPr>
      <w:rFonts w:eastAsiaTheme="majorEastAsia" w:cstheme="majorBidi"/>
      <w:b/>
      <w:bCs/>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3395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016DB0"/>
    <w:pPr>
      <w:ind w:left="720"/>
      <w:contextualSpacing/>
    </w:pPr>
  </w:style>
  <w:style w:type="character" w:styleId="CommentReference">
    <w:name w:val="annotation reference"/>
    <w:basedOn w:val="DefaultParagraphFont"/>
    <w:uiPriority w:val="99"/>
    <w:semiHidden/>
    <w:unhideWhenUsed/>
    <w:rsid w:val="00AE044A"/>
    <w:rPr>
      <w:sz w:val="16"/>
      <w:szCs w:val="16"/>
    </w:rPr>
  </w:style>
  <w:style w:type="paragraph" w:styleId="CommentText">
    <w:name w:val="annotation text"/>
    <w:basedOn w:val="Normal"/>
    <w:link w:val="CommentTextChar"/>
    <w:uiPriority w:val="99"/>
    <w:semiHidden/>
    <w:unhideWhenUsed/>
    <w:rsid w:val="00AE044A"/>
  </w:style>
  <w:style w:type="character" w:styleId="CommentTextChar" w:customStyle="1">
    <w:name w:val="Comment Text Char"/>
    <w:basedOn w:val="DefaultParagraphFont"/>
    <w:link w:val="CommentText"/>
    <w:uiPriority w:val="99"/>
    <w:semiHidden/>
    <w:rsid w:val="00AE044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E044A"/>
    <w:rPr>
      <w:b/>
      <w:bCs/>
    </w:rPr>
  </w:style>
  <w:style w:type="character" w:styleId="CommentSubjectChar" w:customStyle="1">
    <w:name w:val="Comment Subject Char"/>
    <w:basedOn w:val="CommentTextChar"/>
    <w:link w:val="CommentSubject"/>
    <w:uiPriority w:val="99"/>
    <w:semiHidden/>
    <w:rsid w:val="00AE044A"/>
    <w:rPr>
      <w:rFonts w:ascii="Times New Roman" w:hAnsi="Times New Roman"/>
      <w:b/>
      <w:bCs/>
    </w:rPr>
  </w:style>
  <w:style w:type="paragraph" w:styleId="BalloonText">
    <w:name w:val="Balloon Text"/>
    <w:basedOn w:val="Normal"/>
    <w:link w:val="BalloonTextChar"/>
    <w:uiPriority w:val="99"/>
    <w:semiHidden/>
    <w:unhideWhenUsed/>
    <w:rsid w:val="00AE044A"/>
    <w:rPr>
      <w:rFonts w:ascii="Tahoma" w:hAnsi="Tahoma" w:cs="Tahoma"/>
      <w:sz w:val="16"/>
      <w:szCs w:val="16"/>
    </w:rPr>
  </w:style>
  <w:style w:type="character" w:styleId="BalloonTextChar" w:customStyle="1">
    <w:name w:val="Balloon Text Char"/>
    <w:basedOn w:val="DefaultParagraphFont"/>
    <w:link w:val="BalloonText"/>
    <w:uiPriority w:val="99"/>
    <w:semiHidden/>
    <w:rsid w:val="00AE044A"/>
    <w:rPr>
      <w:rFonts w:ascii="Tahoma" w:hAnsi="Tahoma" w:cs="Tahoma"/>
      <w:sz w:val="16"/>
      <w:szCs w:val="16"/>
    </w:rPr>
  </w:style>
  <w:style w:type="paragraph" w:styleId="Header">
    <w:name w:val="header"/>
    <w:basedOn w:val="Normal"/>
    <w:link w:val="HeaderChar"/>
    <w:uiPriority w:val="99"/>
    <w:unhideWhenUsed/>
    <w:rsid w:val="00374BC7"/>
    <w:pPr>
      <w:tabs>
        <w:tab w:val="center" w:pos="4680"/>
        <w:tab w:val="right" w:pos="9360"/>
      </w:tabs>
    </w:pPr>
  </w:style>
  <w:style w:type="character" w:styleId="HeaderChar" w:customStyle="1">
    <w:name w:val="Header Char"/>
    <w:basedOn w:val="DefaultParagraphFont"/>
    <w:link w:val="Header"/>
    <w:uiPriority w:val="99"/>
    <w:rsid w:val="00374BC7"/>
    <w:rPr>
      <w:rFonts w:ascii="Times New Roman" w:hAnsi="Times New Roman"/>
    </w:rPr>
  </w:style>
  <w:style w:type="paragraph" w:styleId="Footer">
    <w:name w:val="footer"/>
    <w:basedOn w:val="Normal"/>
    <w:link w:val="FooterChar"/>
    <w:uiPriority w:val="99"/>
    <w:unhideWhenUsed/>
    <w:rsid w:val="00374BC7"/>
    <w:pPr>
      <w:tabs>
        <w:tab w:val="center" w:pos="4680"/>
        <w:tab w:val="right" w:pos="9360"/>
      </w:tabs>
    </w:pPr>
  </w:style>
  <w:style w:type="character" w:styleId="FooterChar" w:customStyle="1">
    <w:name w:val="Footer Char"/>
    <w:basedOn w:val="DefaultParagraphFont"/>
    <w:link w:val="Footer"/>
    <w:uiPriority w:val="99"/>
    <w:rsid w:val="00374BC7"/>
    <w:rPr>
      <w:rFonts w:ascii="Times New Roman" w:hAnsi="Times New Roman"/>
    </w:rPr>
  </w:style>
  <w:style w:type="character" w:styleId="Heading1Char" w:customStyle="1">
    <w:name w:val="Heading 1 Char"/>
    <w:basedOn w:val="DefaultParagraphFont"/>
    <w:link w:val="Heading1"/>
    <w:uiPriority w:val="9"/>
    <w:rsid w:val="00A07EFF"/>
    <w:rPr>
      <w:rFonts w:asciiTheme="majorHAnsi" w:hAnsiTheme="majorHAnsi" w:eastAsiaTheme="majorEastAsia" w:cstheme="majorBidi"/>
      <w:b/>
      <w:bCs/>
      <w:sz w:val="28"/>
      <w:szCs w:val="28"/>
    </w:rPr>
  </w:style>
  <w:style w:type="paragraph" w:styleId="FootnoteText">
    <w:name w:val="footnote text"/>
    <w:basedOn w:val="Normal"/>
    <w:link w:val="FootnoteTextChar"/>
    <w:uiPriority w:val="99"/>
    <w:unhideWhenUsed/>
    <w:rsid w:val="00A07EFF"/>
  </w:style>
  <w:style w:type="character" w:styleId="FootnoteTextChar" w:customStyle="1">
    <w:name w:val="Footnote Text Char"/>
    <w:basedOn w:val="DefaultParagraphFont"/>
    <w:link w:val="FootnoteText"/>
    <w:uiPriority w:val="99"/>
    <w:rsid w:val="00A07EFF"/>
    <w:rPr>
      <w:rFonts w:ascii="Times New Roman" w:hAnsi="Times New Roman"/>
    </w:rPr>
  </w:style>
  <w:style w:type="character" w:styleId="FootnoteReference">
    <w:name w:val="footnote reference"/>
    <w:basedOn w:val="DefaultParagraphFont"/>
    <w:uiPriority w:val="99"/>
    <w:semiHidden/>
    <w:unhideWhenUsed/>
    <w:rsid w:val="00A07EFF"/>
    <w:rPr>
      <w:vertAlign w:val="superscript"/>
    </w:rPr>
  </w:style>
  <w:style w:type="character" w:styleId="Heading2Char" w:customStyle="1">
    <w:name w:val="Heading 2 Char"/>
    <w:basedOn w:val="DefaultParagraphFont"/>
    <w:link w:val="Heading2"/>
    <w:uiPriority w:val="9"/>
    <w:rsid w:val="000F0D2F"/>
    <w:rPr>
      <w:rFonts w:ascii="Times New Roman" w:hAnsi="Times New Roman" w:eastAsiaTheme="majorEastAsia"/>
      <w:b/>
      <w:bCs/>
      <w:sz w:val="24"/>
      <w:szCs w:val="24"/>
    </w:rPr>
  </w:style>
  <w:style w:type="character" w:styleId="Heading3Char" w:customStyle="1">
    <w:name w:val="Heading 3 Char"/>
    <w:basedOn w:val="DefaultParagraphFont"/>
    <w:link w:val="Heading3"/>
    <w:uiPriority w:val="9"/>
    <w:rsid w:val="00A76600"/>
    <w:rPr>
      <w:rFonts w:ascii="Times New Roman" w:hAnsi="Times New Roman" w:eastAsiaTheme="majorEastAsia"/>
      <w:b/>
      <w:bCs/>
      <w:sz w:val="24"/>
      <w:szCs w:val="24"/>
    </w:rPr>
  </w:style>
  <w:style w:type="character" w:styleId="Heading4Char" w:customStyle="1">
    <w:name w:val="Heading 4 Char"/>
    <w:basedOn w:val="DefaultParagraphFont"/>
    <w:link w:val="Heading4"/>
    <w:uiPriority w:val="9"/>
    <w:rsid w:val="00A76600"/>
    <w:rPr>
      <w:rFonts w:ascii="Times New Roman" w:hAnsi="Times New Roman" w:eastAsiaTheme="majorEastAsia" w:cstheme="majorBidi"/>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a166dccb22fe41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30f8a5-ad72-4fc7-b5b3-3d370dfa14ce}"/>
      </w:docPartPr>
      <w:docPartBody>
        <w:p w14:paraId="12D570E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Props1.xml><?xml version="1.0" encoding="utf-8"?>
<ds:datastoreItem xmlns:ds="http://schemas.openxmlformats.org/officeDocument/2006/customXml" ds:itemID="{D4C34C79-6002-4E74-A7B8-9DB3712AB1AB}">
  <ds:schemaRefs>
    <ds:schemaRef ds:uri="http://schemas.openxmlformats.org/officeDocument/2006/bibliography"/>
  </ds:schemaRefs>
</ds:datastoreItem>
</file>

<file path=customXml/itemProps2.xml><?xml version="1.0" encoding="utf-8"?>
<ds:datastoreItem xmlns:ds="http://schemas.openxmlformats.org/officeDocument/2006/customXml" ds:itemID="{EDD5BF8B-2A9D-4E39-AB17-254DBDBFA049}"/>
</file>

<file path=customXml/itemProps3.xml><?xml version="1.0" encoding="utf-8"?>
<ds:datastoreItem xmlns:ds="http://schemas.openxmlformats.org/officeDocument/2006/customXml" ds:itemID="{223C2AD2-B534-439D-95B6-A545C2EE2976}"/>
</file>

<file path=customXml/itemProps4.xml><?xml version="1.0" encoding="utf-8"?>
<ds:datastoreItem xmlns:ds="http://schemas.openxmlformats.org/officeDocument/2006/customXml" ds:itemID="{3A9D60C5-92F5-47FD-A037-E957D6A97A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State of Indiana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Jim Adams</dc:creator>
  <lastModifiedBy>Poon, DeAnna</lastModifiedBy>
  <revision>13</revision>
  <lastPrinted>2010-10-08T15:20:00.0000000Z</lastPrinted>
  <dcterms:created xsi:type="dcterms:W3CDTF">2019-02-26T14:28:00.0000000Z</dcterms:created>
  <dcterms:modified xsi:type="dcterms:W3CDTF">2019-07-17T17:38:54.1852699Z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