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91AFB" w:rsidR="00F87A59" w:rsidP="00F87A59" w:rsidRDefault="00F87A59" w14:paraId="7D2029FA" w14:textId="77777777">
      <w:pPr>
        <w:ind w:left="720" w:hanging="720"/>
        <w:rPr>
          <w:b/>
          <w:bCs/>
        </w:rPr>
      </w:pPr>
      <w:r>
        <w:rPr>
          <w:b/>
          <w:bCs/>
        </w:rPr>
        <w:t>TITLE 170 INDIAN</w:t>
      </w:r>
      <w:bookmarkStart w:name="_GoBack" w:id="0"/>
      <w:bookmarkEnd w:id="0"/>
      <w:r>
        <w:rPr>
          <w:b/>
          <w:bCs/>
        </w:rPr>
        <w:t xml:space="preserve">A UTILITY </w:t>
      </w:r>
      <w:r w:rsidRPr="00991AFB">
        <w:rPr>
          <w:b/>
          <w:bCs/>
        </w:rPr>
        <w:t>REGULATORY COMMISSION</w:t>
      </w:r>
    </w:p>
    <w:p w:rsidRPr="00991AFB" w:rsidR="00F87A59" w:rsidP="00F87A59" w:rsidRDefault="00F87A59" w14:paraId="55F759EC" w14:textId="77777777">
      <w:pPr>
        <w:ind w:left="720" w:hanging="720"/>
        <w:rPr>
          <w:b/>
          <w:bCs/>
        </w:rPr>
      </w:pPr>
    </w:p>
    <w:p w:rsidRPr="00991AFB" w:rsidR="00F87A59" w:rsidP="00F87A59" w:rsidRDefault="00F87A59" w14:paraId="0D41A78D" w14:textId="77777777">
      <w:pPr>
        <w:ind w:left="720" w:hanging="720"/>
        <w:jc w:val="center"/>
        <w:rPr>
          <w:b/>
          <w:bCs/>
          <w:u w:val="single"/>
        </w:rPr>
      </w:pPr>
      <w:r w:rsidRPr="00991AFB">
        <w:rPr>
          <w:b/>
          <w:bCs/>
          <w:u w:val="single"/>
        </w:rPr>
        <w:t>FISCAL IMPACT ANALYSIS</w:t>
      </w:r>
    </w:p>
    <w:p w:rsidR="66E1B101" w:rsidP="66E1B101" w:rsidRDefault="66E1B101" w14:paraId="7A174056" w14:textId="5AE15C1A">
      <w:pPr>
        <w:pStyle w:val="Normal"/>
        <w:ind w:left="720" w:hanging="720"/>
        <w:jc w:val="center"/>
        <w:rPr>
          <w:b w:val="1"/>
          <w:bCs w:val="1"/>
        </w:rPr>
      </w:pPr>
      <w:r w:rsidRPr="66E1B101" w:rsidR="66E1B101">
        <w:rPr>
          <w:b w:val="1"/>
          <w:bCs w:val="1"/>
        </w:rPr>
        <w:t>LSA Document #</w:t>
      </w:r>
      <w:r w:rsidRPr="66E1B101" w:rsidR="66E1B101">
        <w:rPr>
          <w:rFonts w:ascii="Times New Roman" w:hAnsi="Times New Roman" w:eastAsia="Times New Roman" w:cs="Times New Roman"/>
          <w:b w:val="1"/>
          <w:bCs w:val="1"/>
          <w:noProof w:val="0"/>
          <w:sz w:val="24"/>
          <w:szCs w:val="24"/>
          <w:lang w:val="en-US"/>
        </w:rPr>
        <w:t>19-378</w:t>
      </w:r>
    </w:p>
    <w:p w:rsidRPr="00991AFB" w:rsidR="00A07EFF" w:rsidP="00A07EFF" w:rsidRDefault="00A07EFF" w14:paraId="76C65BED" w14:textId="77777777"/>
    <w:p w:rsidRPr="00991AFB" w:rsidR="00AE044A" w:rsidP="005E0EFC" w:rsidRDefault="00A07EFF" w14:paraId="32C19B78" w14:textId="77777777">
      <w:pPr>
        <w:pStyle w:val="Heading2"/>
        <w:jc w:val="left"/>
      </w:pPr>
      <w:r w:rsidRPr="00991AFB">
        <w:t>E</w:t>
      </w:r>
      <w:r w:rsidRPr="00991AFB" w:rsidR="00DF477F">
        <w:t>stimated Fiscal Impact on State and L</w:t>
      </w:r>
      <w:r w:rsidRPr="00991AFB">
        <w:t xml:space="preserve">ocal </w:t>
      </w:r>
      <w:r w:rsidRPr="00991AFB" w:rsidR="00DF477F">
        <w:t>G</w:t>
      </w:r>
      <w:r w:rsidRPr="00991AFB">
        <w:t>overnment.</w:t>
      </w:r>
    </w:p>
    <w:p w:rsidRPr="006B3FA8" w:rsidR="006B3FA8" w:rsidP="005E0EFC" w:rsidRDefault="006B3FA8" w14:paraId="4876148C" w14:textId="606F588E">
      <w:pPr>
        <w:jc w:val="left"/>
      </w:pPr>
      <w:r w:rsidRPr="00991AFB">
        <w:tab/>
      </w:r>
      <w:r w:rsidR="00724546">
        <w:t>The estimated f</w:t>
      </w:r>
      <w:r w:rsidRPr="00991AFB" w:rsidR="005E0EFC">
        <w:t>iscal impact is a cost savings of at least $107</w:t>
      </w:r>
      <w:r w:rsidR="005E0EFC">
        <w:t xml:space="preserve">,068 annually. </w:t>
      </w:r>
    </w:p>
    <w:p w:rsidR="00AE044A" w:rsidP="005E0EFC" w:rsidRDefault="00A07EFF" w14:paraId="74FF2369" w14:textId="77777777">
      <w:pPr>
        <w:pStyle w:val="Heading2"/>
        <w:jc w:val="left"/>
      </w:pPr>
      <w:r>
        <w:t>A</w:t>
      </w:r>
      <w:r w:rsidRPr="00377E76" w:rsidR="00F23F7E">
        <w:t xml:space="preserve">nticipated </w:t>
      </w:r>
      <w:r w:rsidR="00DF477F">
        <w:t>Effective Date of the R</w:t>
      </w:r>
      <w:r>
        <w:t>ule.</w:t>
      </w:r>
    </w:p>
    <w:p w:rsidRPr="004E79F2" w:rsidR="00F37D40" w:rsidP="00F37D40" w:rsidRDefault="004E79F2" w14:paraId="66B54583" w14:textId="77777777">
      <w:pPr>
        <w:pStyle w:val="ListParagraph"/>
        <w:numPr>
          <w:ilvl w:val="0"/>
          <w:numId w:val="24"/>
        </w:numPr>
        <w:spacing w:after="80"/>
        <w:contextualSpacing w:val="0"/>
        <w:jc w:val="left"/>
        <w:rPr>
          <w:bCs/>
        </w:rPr>
      </w:pPr>
      <w:r>
        <w:rPr>
          <w:bCs/>
        </w:rPr>
        <w:t xml:space="preserve">The Notice of Intent will be filed </w:t>
      </w:r>
      <w:r w:rsidR="00F37D40">
        <w:rPr>
          <w:bCs/>
        </w:rPr>
        <w:t xml:space="preserve">on the same date this Fiscal Impact Analysis is submitted to </w:t>
      </w:r>
      <w:r w:rsidRPr="004E79F2" w:rsidR="00F37D40">
        <w:rPr>
          <w:bCs/>
        </w:rPr>
        <w:t>the Office of Management and Budget</w:t>
      </w:r>
      <w:r>
        <w:rPr>
          <w:bCs/>
        </w:rPr>
        <w:t>.</w:t>
      </w:r>
      <w:r w:rsidR="00F37D40">
        <w:rPr>
          <w:bCs/>
        </w:rPr>
        <w:t xml:space="preserve">  </w:t>
      </w:r>
      <w:r w:rsidR="00F37D40">
        <w:rPr>
          <w:bCs/>
        </w:rPr>
        <w:t>The</w:t>
      </w:r>
      <w:r w:rsidRPr="004E79F2" w:rsidR="00F37D40">
        <w:rPr>
          <w:bCs/>
        </w:rPr>
        <w:t xml:space="preserve"> Indiana Utility Regulatory Commission (Commission) should receive the Office of Management and Budget’s fiscal impact statement </w:t>
      </w:r>
      <w:r w:rsidRPr="004E79F2" w:rsidR="00F37D40">
        <w:rPr>
          <w:bCs/>
          <w:i/>
        </w:rPr>
        <w:t>within</w:t>
      </w:r>
      <w:r w:rsidRPr="004E79F2" w:rsidR="00F37D40">
        <w:rPr>
          <w:bCs/>
        </w:rPr>
        <w:t xml:space="preserve"> forty-five (45) days</w:t>
      </w:r>
      <w:r w:rsidR="00F37D40">
        <w:rPr>
          <w:bCs/>
        </w:rPr>
        <w:t xml:space="preserve"> of submission</w:t>
      </w:r>
      <w:r w:rsidRPr="004E79F2" w:rsidR="00F37D40">
        <w:rPr>
          <w:bCs/>
        </w:rPr>
        <w:t>.</w:t>
      </w:r>
      <w:r w:rsidR="00F37D40">
        <w:rPr>
          <w:bCs/>
        </w:rPr>
        <w:t xml:space="preserve"> </w:t>
      </w:r>
      <w:r w:rsidRPr="004E79F2" w:rsidR="00F37D40">
        <w:rPr>
          <w:bCs/>
        </w:rPr>
        <w:t>IC 4-22-2-28(d).</w:t>
      </w:r>
    </w:p>
    <w:p w:rsidRPr="004E79F2" w:rsidR="004E79F2" w:rsidP="005E0EFC" w:rsidRDefault="004E79F2" w14:paraId="03E3BD6E" w14:textId="13DFFF5A">
      <w:pPr>
        <w:pStyle w:val="ListParagraph"/>
        <w:numPr>
          <w:ilvl w:val="0"/>
          <w:numId w:val="24"/>
        </w:numPr>
        <w:spacing w:after="80"/>
        <w:contextualSpacing w:val="0"/>
        <w:jc w:val="left"/>
        <w:rPr>
          <w:bCs/>
        </w:rPr>
      </w:pPr>
      <w:r>
        <w:rPr>
          <w:bCs/>
        </w:rPr>
        <w:t>The Proposed Rule will be filed at least twenty-eight (28) days after publication of the Notice of Intent. IC 4-22-2-23.</w:t>
      </w:r>
    </w:p>
    <w:p w:rsidRPr="004E79F2" w:rsidR="006C79B3" w:rsidP="005E0EFC" w:rsidRDefault="006C79B3" w14:paraId="0D3D3EDC" w14:textId="4F485F4F">
      <w:pPr>
        <w:pStyle w:val="ListParagraph"/>
        <w:numPr>
          <w:ilvl w:val="0"/>
          <w:numId w:val="24"/>
        </w:numPr>
        <w:spacing w:after="80"/>
        <w:contextualSpacing w:val="0"/>
        <w:jc w:val="left"/>
        <w:rPr>
          <w:bCs/>
        </w:rPr>
      </w:pPr>
      <w:r w:rsidRPr="004E79F2">
        <w:t>The total cost of the rule is less than five hundred thousand dollars ($500,000).</w:t>
      </w:r>
      <w:r w:rsidR="00724546">
        <w:t xml:space="preserve"> </w:t>
      </w:r>
      <w:r w:rsidRPr="004E79F2">
        <w:t>Therefore, the public hearing can take place twenty-one (21) days after the Proposed Rule is published.</w:t>
      </w:r>
      <w:r w:rsidR="00724546">
        <w:t xml:space="preserve"> </w:t>
      </w:r>
      <w:bookmarkStart w:name="IC4-22-2-28" w:id="1"/>
      <w:r w:rsidRPr="004E79F2">
        <w:rPr>
          <w:bCs/>
        </w:rPr>
        <w:t>IC 4-22-2-28</w:t>
      </w:r>
      <w:bookmarkEnd w:id="1"/>
      <w:r w:rsidRPr="004E79F2">
        <w:rPr>
          <w:bCs/>
        </w:rPr>
        <w:t>(c)</w:t>
      </w:r>
      <w:bookmarkStart w:name="IC4-22-2-23.1" w:id="2"/>
      <w:bookmarkStart w:name="IC4-22-2-24" w:id="3"/>
      <w:bookmarkEnd w:id="2"/>
      <w:r w:rsidRPr="004E79F2">
        <w:rPr>
          <w:bCs/>
        </w:rPr>
        <w:t xml:space="preserve"> and IC 4-22-2-24</w:t>
      </w:r>
      <w:bookmarkEnd w:id="3"/>
      <w:r w:rsidRPr="004E79F2">
        <w:rPr>
          <w:bCs/>
        </w:rPr>
        <w:t>.</w:t>
      </w:r>
    </w:p>
    <w:p w:rsidRPr="004E79F2" w:rsidR="006B3FA8" w:rsidP="005E0EFC" w:rsidRDefault="006B3FA8" w14:paraId="01A13C0B" w14:textId="20272F7A">
      <w:pPr>
        <w:pStyle w:val="ListParagraph"/>
        <w:numPr>
          <w:ilvl w:val="0"/>
          <w:numId w:val="24"/>
        </w:numPr>
        <w:spacing w:after="80"/>
        <w:contextualSpacing w:val="0"/>
        <w:jc w:val="left"/>
        <w:rPr>
          <w:bCs/>
        </w:rPr>
      </w:pPr>
      <w:r w:rsidRPr="004E79F2">
        <w:rPr>
          <w:bCs/>
        </w:rPr>
        <w:t xml:space="preserve">Assume </w:t>
      </w:r>
      <w:r w:rsidR="004E79F2">
        <w:rPr>
          <w:bCs/>
        </w:rPr>
        <w:t>three</w:t>
      </w:r>
      <w:r w:rsidRPr="004E79F2">
        <w:rPr>
          <w:bCs/>
        </w:rPr>
        <w:t xml:space="preserve"> (</w:t>
      </w:r>
      <w:r w:rsidR="004E79F2">
        <w:rPr>
          <w:bCs/>
        </w:rPr>
        <w:t>3</w:t>
      </w:r>
      <w:r w:rsidRPr="004E79F2">
        <w:rPr>
          <w:bCs/>
        </w:rPr>
        <w:t>) weeks for the public comment period</w:t>
      </w:r>
      <w:r w:rsidR="004E79F2">
        <w:rPr>
          <w:bCs/>
        </w:rPr>
        <w:t>, beginning at least one (1) week prior when the Notice of Public Hearing is published</w:t>
      </w:r>
      <w:r w:rsidRPr="004E79F2">
        <w:rPr>
          <w:bCs/>
        </w:rPr>
        <w:t>.</w:t>
      </w:r>
    </w:p>
    <w:p w:rsidRPr="004E79F2" w:rsidR="006C79B3" w:rsidP="005E0EFC" w:rsidRDefault="006C79B3" w14:paraId="2189155D" w14:textId="77777777">
      <w:pPr>
        <w:pStyle w:val="ListParagraph"/>
        <w:numPr>
          <w:ilvl w:val="0"/>
          <w:numId w:val="24"/>
        </w:numPr>
        <w:spacing w:after="80"/>
        <w:contextualSpacing w:val="0"/>
        <w:jc w:val="left"/>
        <w:rPr>
          <w:bCs/>
        </w:rPr>
      </w:pPr>
      <w:r w:rsidRPr="004E79F2">
        <w:rPr>
          <w:bCs/>
        </w:rPr>
        <w:t>Assume thirty (30) days for staff to review public comments and assemble the rule packet.</w:t>
      </w:r>
    </w:p>
    <w:p w:rsidR="004E79F2" w:rsidP="005E0EFC" w:rsidRDefault="004E79F2" w14:paraId="1A551458" w14:textId="5BD60B2A">
      <w:pPr>
        <w:pStyle w:val="ListParagraph"/>
        <w:numPr>
          <w:ilvl w:val="0"/>
          <w:numId w:val="24"/>
        </w:numPr>
        <w:spacing w:after="80"/>
        <w:contextualSpacing w:val="0"/>
        <w:jc w:val="left"/>
        <w:rPr>
          <w:bCs/>
        </w:rPr>
      </w:pPr>
      <w:r>
        <w:rPr>
          <w:bCs/>
        </w:rPr>
        <w:t>Assume at least one (1) week to circulate the rule for the Commission’s weekly Conference to approve the Final Rule.</w:t>
      </w:r>
    </w:p>
    <w:p w:rsidRPr="004E79F2" w:rsidR="006C79B3" w:rsidP="005E0EFC" w:rsidRDefault="006C79B3" w14:paraId="23056070" w14:textId="09C25288">
      <w:pPr>
        <w:pStyle w:val="ListParagraph"/>
        <w:numPr>
          <w:ilvl w:val="0"/>
          <w:numId w:val="24"/>
        </w:numPr>
        <w:spacing w:after="80"/>
        <w:contextualSpacing w:val="0"/>
        <w:jc w:val="left"/>
        <w:rPr>
          <w:bCs/>
        </w:rPr>
      </w:pPr>
      <w:r w:rsidRPr="004E79F2">
        <w:rPr>
          <w:bCs/>
        </w:rPr>
        <w:t>The Attorney General has forty-five (45) days to review the packet.</w:t>
      </w:r>
      <w:r w:rsidR="00724546">
        <w:rPr>
          <w:bCs/>
        </w:rPr>
        <w:t xml:space="preserve"> </w:t>
      </w:r>
      <w:r w:rsidRPr="004E79F2">
        <w:rPr>
          <w:bCs/>
        </w:rPr>
        <w:t xml:space="preserve">IC </w:t>
      </w:r>
      <w:bookmarkStart w:name="IC4-22-2-32" w:id="4"/>
      <w:r w:rsidRPr="004E79F2">
        <w:rPr>
          <w:bCs/>
        </w:rPr>
        <w:t>4-22-2-32</w:t>
      </w:r>
      <w:bookmarkEnd w:id="4"/>
      <w:r w:rsidRPr="004E79F2">
        <w:rPr>
          <w:bCs/>
        </w:rPr>
        <w:t>(g).</w:t>
      </w:r>
    </w:p>
    <w:p w:rsidRPr="004E79F2" w:rsidR="006C79B3" w:rsidP="005E0EFC" w:rsidRDefault="006C79B3" w14:paraId="20516AE4" w14:textId="2E0ACCFB">
      <w:pPr>
        <w:pStyle w:val="ListParagraph"/>
        <w:numPr>
          <w:ilvl w:val="0"/>
          <w:numId w:val="24"/>
        </w:numPr>
        <w:spacing w:after="80"/>
        <w:contextualSpacing w:val="0"/>
        <w:jc w:val="left"/>
        <w:rPr>
          <w:bCs/>
        </w:rPr>
      </w:pPr>
      <w:r w:rsidRPr="004E79F2">
        <w:rPr>
          <w:bCs/>
        </w:rPr>
        <w:t>The Governor’s office has up to thirty (30) days to review the packet.</w:t>
      </w:r>
      <w:r w:rsidR="00724546">
        <w:rPr>
          <w:bCs/>
        </w:rPr>
        <w:t xml:space="preserve"> </w:t>
      </w:r>
      <w:r w:rsidRPr="004E79F2">
        <w:rPr>
          <w:bCs/>
        </w:rPr>
        <w:t xml:space="preserve">IC </w:t>
      </w:r>
      <w:bookmarkStart w:name="IC4-22-2-34" w:id="5"/>
      <w:r w:rsidRPr="004E79F2">
        <w:rPr>
          <w:bCs/>
        </w:rPr>
        <w:t>4-22-2-34</w:t>
      </w:r>
      <w:bookmarkEnd w:id="5"/>
      <w:r w:rsidRPr="004E79F2">
        <w:rPr>
          <w:bCs/>
        </w:rPr>
        <w:t>(b).</w:t>
      </w:r>
    </w:p>
    <w:p w:rsidRPr="004E79F2" w:rsidR="006C79B3" w:rsidP="005E0EFC" w:rsidRDefault="006C79B3" w14:paraId="6E7E5F84" w14:textId="4B57338B">
      <w:pPr>
        <w:pStyle w:val="ListParagraph"/>
        <w:numPr>
          <w:ilvl w:val="0"/>
          <w:numId w:val="24"/>
        </w:numPr>
        <w:spacing w:after="80"/>
        <w:contextualSpacing w:val="0"/>
        <w:jc w:val="left"/>
        <w:rPr>
          <w:bCs/>
        </w:rPr>
      </w:pPr>
      <w:r w:rsidRPr="004E79F2">
        <w:rPr>
          <w:bCs/>
        </w:rPr>
        <w:t>The rule is effective thirty (30) days from the date the Legislative Services Agency accepts the rule for filing.</w:t>
      </w:r>
      <w:r w:rsidR="00724546">
        <w:rPr>
          <w:bCs/>
        </w:rPr>
        <w:t xml:space="preserve"> </w:t>
      </w:r>
      <w:r w:rsidRPr="004E79F2">
        <w:rPr>
          <w:bCs/>
        </w:rPr>
        <w:t>IC 4-22-2-36.</w:t>
      </w:r>
    </w:p>
    <w:p w:rsidRPr="00AF70AF" w:rsidR="007C16B3" w:rsidP="005E0EFC" w:rsidRDefault="007C16B3" w14:paraId="0123335F" w14:textId="4F380A0B">
      <w:pPr>
        <w:pStyle w:val="ListParagraph"/>
        <w:jc w:val="left"/>
        <w:rPr>
          <w:bCs/>
        </w:rPr>
      </w:pPr>
      <w:r>
        <w:rPr>
          <w:bCs/>
        </w:rPr>
        <w:t xml:space="preserve">Therefore, based on the facts and timeline above, the Commission anticipates the </w:t>
      </w:r>
      <w:r w:rsidRPr="00A07EFF">
        <w:t xml:space="preserve">rule to be fully promulgated and effective on </w:t>
      </w:r>
      <w:r>
        <w:rPr>
          <w:bCs/>
        </w:rPr>
        <w:t>or around</w:t>
      </w:r>
      <w:r w:rsidR="00F37D40">
        <w:rPr>
          <w:bCs/>
        </w:rPr>
        <w:t xml:space="preserve"> </w:t>
      </w:r>
      <w:r w:rsidRPr="00F37D40" w:rsidR="00F37D40">
        <w:rPr>
          <w:bCs/>
          <w:u w:val="single"/>
        </w:rPr>
        <w:t>January 31, 2020</w:t>
      </w:r>
      <w:r w:rsidR="00F37D40">
        <w:rPr>
          <w:bCs/>
        </w:rPr>
        <w:t>,</w:t>
      </w:r>
      <w:r w:rsidRPr="00AF70AF">
        <w:rPr>
          <w:bCs/>
        </w:rPr>
        <w:t xml:space="preserve"> </w:t>
      </w:r>
      <w:r w:rsidR="00F37D40">
        <w:rPr>
          <w:bCs/>
        </w:rPr>
        <w:t xml:space="preserve">which is </w:t>
      </w:r>
      <w:r w:rsidR="004E79F2">
        <w:rPr>
          <w:bCs/>
        </w:rPr>
        <w:t>205 days (6.7 months) from the publication of the Notice of Intent</w:t>
      </w:r>
      <w:r w:rsidR="00F37D40">
        <w:rPr>
          <w:bCs/>
        </w:rPr>
        <w:t>, estimated to occur on or around July 10, 2019</w:t>
      </w:r>
      <w:r>
        <w:rPr>
          <w:bCs/>
        </w:rPr>
        <w:t>.</w:t>
      </w:r>
      <w:r w:rsidR="00922AC6">
        <w:rPr>
          <w:bCs/>
        </w:rPr>
        <w:t xml:space="preserve">  </w:t>
      </w:r>
    </w:p>
    <w:p w:rsidR="00A07EFF" w:rsidP="005E0EFC" w:rsidRDefault="00A07EFF" w14:paraId="3E76684D" w14:textId="77777777">
      <w:pPr>
        <w:pStyle w:val="Heading2"/>
        <w:jc w:val="left"/>
      </w:pPr>
      <w:r>
        <w:t>Revenue</w:t>
      </w:r>
      <w:r w:rsidR="00DF477F">
        <w:t>.</w:t>
      </w:r>
    </w:p>
    <w:p w:rsidRPr="00D64908" w:rsidR="00A07EFF" w:rsidP="005E0EFC" w:rsidRDefault="00A07EFF" w14:paraId="5F8C32EE" w14:textId="77777777">
      <w:pPr>
        <w:pStyle w:val="Heading3"/>
        <w:jc w:val="left"/>
      </w:pPr>
      <w:r w:rsidRPr="00D64908">
        <w:t>S</w:t>
      </w:r>
      <w:r w:rsidRPr="00D64908" w:rsidR="00AE044A">
        <w:t>ources of revenue affected by the rule</w:t>
      </w:r>
      <w:r w:rsidRPr="00D64908">
        <w:t>.</w:t>
      </w:r>
    </w:p>
    <w:p w:rsidR="00A07EFF" w:rsidP="005E0EFC" w:rsidRDefault="00A07EFF" w14:paraId="208ABB6A" w14:textId="77777777">
      <w:pPr>
        <w:ind w:left="1440"/>
        <w:jc w:val="left"/>
      </w:pPr>
      <w:r>
        <w:t>The following sources of revenue are potentially affected by this rule:</w:t>
      </w:r>
    </w:p>
    <w:p w:rsidRPr="00A07EFF" w:rsidR="00A07EFF" w:rsidP="005E0EFC" w:rsidRDefault="005E0EFC" w14:paraId="05449B04" w14:textId="77777777">
      <w:pPr>
        <w:ind w:left="1440"/>
        <w:jc w:val="left"/>
      </w:pPr>
      <w:r>
        <w:t>None.</w:t>
      </w:r>
    </w:p>
    <w:p w:rsidR="000C05BD" w:rsidP="005E0EFC" w:rsidRDefault="00A07EFF" w14:paraId="33FBA333" w14:textId="77777777">
      <w:pPr>
        <w:pStyle w:val="Heading3"/>
        <w:jc w:val="left"/>
      </w:pPr>
      <w:r>
        <w:t>E</w:t>
      </w:r>
      <w:r w:rsidRPr="00377E76">
        <w:t>stimated</w:t>
      </w:r>
      <w:r w:rsidR="000C05BD">
        <w:t xml:space="preserve"> change in government revenues or expenditures.</w:t>
      </w:r>
    </w:p>
    <w:p w:rsidR="005E0EFC" w:rsidP="005E0EFC" w:rsidRDefault="000C05BD" w14:paraId="57B09E96" w14:textId="77777777">
      <w:pPr>
        <w:pStyle w:val="ListParagraph"/>
        <w:numPr>
          <w:ilvl w:val="0"/>
          <w:numId w:val="14"/>
        </w:numPr>
        <w:ind w:left="2160" w:hanging="720"/>
        <w:jc w:val="left"/>
      </w:pPr>
      <w:r>
        <w:t xml:space="preserve">The following state or local government </w:t>
      </w:r>
      <w:r w:rsidRPr="000C05BD">
        <w:t>revenues</w:t>
      </w:r>
      <w:r>
        <w:t xml:space="preserve"> are estimated to increase or decrease as a result of implementation of this rule:</w:t>
      </w:r>
    </w:p>
    <w:p w:rsidR="005E0EFC" w:rsidP="005E0EFC" w:rsidRDefault="005E0EFC" w14:paraId="2DC0D023" w14:textId="77777777">
      <w:pPr>
        <w:ind w:left="1440"/>
        <w:jc w:val="left"/>
      </w:pPr>
      <w:r>
        <w:lastRenderedPageBreak/>
        <w:tab/>
      </w:r>
      <w:r>
        <w:t>None.</w:t>
      </w:r>
    </w:p>
    <w:p w:rsidR="005E0EFC" w:rsidP="005E0EFC" w:rsidRDefault="005E0EFC" w14:paraId="58FD9AEA" w14:textId="77777777">
      <w:pPr>
        <w:ind w:left="1440"/>
        <w:jc w:val="left"/>
      </w:pPr>
      <w:r>
        <w:tab/>
      </w:r>
    </w:p>
    <w:p w:rsidR="000C05BD" w:rsidP="005E0EFC" w:rsidRDefault="000C05BD" w14:paraId="142CF8CC" w14:textId="77777777">
      <w:pPr>
        <w:pStyle w:val="ListParagraph"/>
        <w:numPr>
          <w:ilvl w:val="0"/>
          <w:numId w:val="14"/>
        </w:numPr>
        <w:ind w:left="2160" w:hanging="720"/>
        <w:jc w:val="left"/>
      </w:pPr>
      <w:r>
        <w:t xml:space="preserve">The following state or local government </w:t>
      </w:r>
      <w:r w:rsidRPr="000C05BD">
        <w:t>expenditures</w:t>
      </w:r>
      <w:r>
        <w:t xml:space="preserve"> are estimated to increase or decrease</w:t>
      </w:r>
      <w:r w:rsidRPr="000C05BD">
        <w:t xml:space="preserve"> </w:t>
      </w:r>
      <w:r>
        <w:t>as a result of implementation of this rule:</w:t>
      </w:r>
    </w:p>
    <w:p w:rsidR="00BA3558" w:rsidP="005E0EFC" w:rsidRDefault="005E0EFC" w14:paraId="516BAEE7" w14:textId="0C506A05">
      <w:pPr>
        <w:ind w:left="2160"/>
        <w:jc w:val="left"/>
      </w:pPr>
      <w:r>
        <w:t xml:space="preserve">The Commission’s expenditures are expected to decrease by at least </w:t>
      </w:r>
      <w:r w:rsidRPr="00BA3558">
        <w:rPr>
          <w:b/>
          <w:u w:val="single"/>
        </w:rPr>
        <w:t>$107,068</w:t>
      </w:r>
      <w:r>
        <w:t xml:space="preserve"> annually as a result of implementation of this rule.</w:t>
      </w:r>
      <w:r w:rsidR="00724546">
        <w:t xml:space="preserve"> </w:t>
      </w:r>
    </w:p>
    <w:p w:rsidR="00BA3558" w:rsidP="005E0EFC" w:rsidRDefault="00BA3558" w14:paraId="47053249" w14:textId="77777777">
      <w:pPr>
        <w:ind w:left="2160"/>
        <w:jc w:val="left"/>
      </w:pPr>
    </w:p>
    <w:p w:rsidR="00BA3558" w:rsidP="00BA3558" w:rsidRDefault="00BA3558" w14:paraId="4B64A2BF" w14:textId="23CDC233">
      <w:pPr>
        <w:ind w:left="2160"/>
        <w:jc w:val="left"/>
      </w:pPr>
      <w:r>
        <w:t>Previously, the Commission had (1) a document center administrator, (2) a system support specialist, and (3) an information technology director.</w:t>
      </w:r>
      <w:r w:rsidR="00724546">
        <w:t xml:space="preserve"> </w:t>
      </w:r>
      <w:r>
        <w:t>The majority of the duties of the information technology director were to keep the electronic document system running, as it was old technology and the original vendor no longer offered software support.</w:t>
      </w:r>
      <w:r w:rsidR="00724546">
        <w:t xml:space="preserve"> </w:t>
      </w:r>
      <w:r>
        <w:t>The two major duties of the document center administrator were to scan and upload hard copy filings to the system and organize hard copies according to the retention schedules set by the Indiana Archives and Records Administration (IARA).</w:t>
      </w:r>
      <w:r w:rsidR="00724546">
        <w:t xml:space="preserve"> </w:t>
      </w:r>
      <w:r>
        <w:t>The Commission has since started using an electronic filing system (EFS).</w:t>
      </w:r>
    </w:p>
    <w:p w:rsidR="00BA3558" w:rsidP="00BA3558" w:rsidRDefault="00BA3558" w14:paraId="7BBCB51F" w14:textId="77777777">
      <w:pPr>
        <w:ind w:left="2160"/>
        <w:jc w:val="left"/>
      </w:pPr>
    </w:p>
    <w:p w:rsidRPr="00BA3558" w:rsidR="00BA3558" w:rsidP="00BA3558" w:rsidRDefault="00BA3558" w14:paraId="6F305F99" w14:textId="493C730C">
      <w:pPr>
        <w:ind w:left="2160"/>
        <w:jc w:val="left"/>
      </w:pPr>
      <w:r>
        <w:t>On</w:t>
      </w:r>
      <w:r w:rsidR="00480E2F">
        <w:t>c</w:t>
      </w:r>
      <w:r>
        <w:t>e the EFS was in place, the Commission restructured duties, and the information technology department director position was eliminated, as</w:t>
      </w:r>
      <w:r w:rsidR="00724546">
        <w:t xml:space="preserve"> </w:t>
      </w:r>
      <w:r>
        <w:t xml:space="preserve">the majority of job duties were related to the eliminated electronic document system. Remaining </w:t>
      </w:r>
      <w:r w:rsidRPr="00BA3558">
        <w:t>duties were transitioned to system support staff.</w:t>
      </w:r>
      <w:r w:rsidR="00724546">
        <w:t xml:space="preserve"> </w:t>
      </w:r>
      <w:r>
        <w:t xml:space="preserve">The Commission has maintenance support for the EFS through an ongoing </w:t>
      </w:r>
      <w:r w:rsidRPr="00BA3558">
        <w:t>vendor relationship</w:t>
      </w:r>
      <w:r w:rsidR="00480E2F">
        <w:t>,</w:t>
      </w:r>
      <w:r w:rsidR="00074431">
        <w:t xml:space="preserve"> and</w:t>
      </w:r>
      <w:r w:rsidRPr="00BA3558">
        <w:t xml:space="preserve"> </w:t>
      </w:r>
      <w:r w:rsidR="0071416D">
        <w:t xml:space="preserve">the </w:t>
      </w:r>
      <w:r w:rsidRPr="00BA3558">
        <w:t xml:space="preserve">system support staff </w:t>
      </w:r>
      <w:r w:rsidR="0071416D">
        <w:t>is</w:t>
      </w:r>
      <w:r w:rsidRPr="00BA3558" w:rsidR="0071416D">
        <w:t xml:space="preserve"> </w:t>
      </w:r>
      <w:r w:rsidRPr="00BA3558">
        <w:t>trained in troubleshooting the system.</w:t>
      </w:r>
      <w:r w:rsidR="00724546">
        <w:t xml:space="preserve"> </w:t>
      </w:r>
      <w:r w:rsidRPr="00BA3558">
        <w:t xml:space="preserve">Eliminating </w:t>
      </w:r>
      <w:r w:rsidR="00074431">
        <w:t>the director</w:t>
      </w:r>
      <w:r w:rsidRPr="00BA3558">
        <w:t xml:space="preserve"> position saves the Commission $107.068 annually in salary plus benefits. </w:t>
      </w:r>
    </w:p>
    <w:p w:rsidRPr="00BA3558" w:rsidR="00BA3558" w:rsidP="00BA3558" w:rsidRDefault="00BA3558" w14:paraId="2D02C91E" w14:textId="77777777">
      <w:pPr>
        <w:ind w:left="2160"/>
        <w:jc w:val="left"/>
      </w:pPr>
    </w:p>
    <w:p w:rsidR="00BA3558" w:rsidP="00BA3558" w:rsidRDefault="00BA3558" w14:paraId="2DD05968" w14:textId="07A7A406">
      <w:pPr>
        <w:ind w:left="2160"/>
        <w:jc w:val="left"/>
      </w:pPr>
      <w:r>
        <w:t>The document center administrator transitioned t</w:t>
      </w:r>
      <w:r w:rsidR="00074431">
        <w:t xml:space="preserve">o a system support specialist because </w:t>
      </w:r>
      <w:r w:rsidR="00480E2F">
        <w:t xml:space="preserve">the </w:t>
      </w:r>
      <w:r w:rsidR="00074431">
        <w:t xml:space="preserve">previous job duties mostly consisted of scanning and uploading hard copies and </w:t>
      </w:r>
      <w:r w:rsidR="00480E2F">
        <w:t xml:space="preserve">of </w:t>
      </w:r>
      <w:r w:rsidR="00074431">
        <w:t xml:space="preserve">record retention processes. </w:t>
      </w:r>
      <w:r>
        <w:t xml:space="preserve">In the </w:t>
      </w:r>
      <w:r w:rsidR="00074431">
        <w:t>EFS, there is little need for scanning and uploading</w:t>
      </w:r>
      <w:r w:rsidR="00126AE2">
        <w:t>, and</w:t>
      </w:r>
      <w:r w:rsidR="00074431">
        <w:t xml:space="preserve"> </w:t>
      </w:r>
      <w:r>
        <w:t xml:space="preserve">there is sufficient existing administrative support </w:t>
      </w:r>
      <w:r w:rsidR="00074431">
        <w:t>for this work</w:t>
      </w:r>
      <w:r>
        <w:t xml:space="preserve">. </w:t>
      </w:r>
    </w:p>
    <w:p w:rsidR="00BA3558" w:rsidP="00BA3558" w:rsidRDefault="00BA3558" w14:paraId="7B0CB289" w14:textId="77777777">
      <w:pPr>
        <w:ind w:left="2160"/>
        <w:jc w:val="left"/>
      </w:pPr>
    </w:p>
    <w:p w:rsidR="00BA3558" w:rsidP="00BA3558" w:rsidRDefault="00BA3558" w14:paraId="3C305F2B" w14:textId="7182B686">
      <w:pPr>
        <w:ind w:left="2160"/>
        <w:jc w:val="left"/>
      </w:pPr>
      <w:r>
        <w:t>The Commission follows the records retention process for formal cases by providing records to the IARA. The IARA returns the hard copies to the Commission along with a microfiche. Commission staff must compare the hard copies to the microfiche to ensure the records match before destroying the hard copy records. The review takes a long time and requires physical storage space, in addition to the lost time and mileage costs of delivering the hard copy records to IARA and the cost to return the documents to the Commission. Also, prior to sending the documents to the IARA, Commission staff remove</w:t>
      </w:r>
      <w:r w:rsidR="00126AE2">
        <w:t>s</w:t>
      </w:r>
      <w:r>
        <w:t xml:space="preserve"> all bindings (paperclips, staples, etc.) and remove</w:t>
      </w:r>
      <w:r w:rsidR="00126AE2">
        <w:t>s</w:t>
      </w:r>
      <w:r>
        <w:t xml:space="preserve"> all duplicates. Finally, there is the cost to the IARA staff of scanning the hard copies to microfiche. The current process is used because under the prior electronic document system, only PDF documents could be filed and exhibits were not filed. In the EFS, most types of </w:t>
      </w:r>
      <w:r>
        <w:lastRenderedPageBreak/>
        <w:t xml:space="preserve">documents can be filed and there is a process for filing exhibits. In addition, the rule will now require using the EFS; there was no requirement in the old rule. </w:t>
      </w:r>
      <w:r w:rsidR="003210AC">
        <w:t>T</w:t>
      </w:r>
      <w:r>
        <w:t xml:space="preserve">he entire formal case will be in the EFS, </w:t>
      </w:r>
      <w:r w:rsidR="003210AC">
        <w:t xml:space="preserve">so </w:t>
      </w:r>
      <w:r>
        <w:t xml:space="preserve">Commission staff can send records to the IARA as PDFs rather than hard copies. This eliminates the personnel costs to </w:t>
      </w:r>
      <w:r w:rsidR="003210AC">
        <w:t xml:space="preserve">prepare, </w:t>
      </w:r>
      <w:r>
        <w:t>scan</w:t>
      </w:r>
      <w:r w:rsidR="00480E2F">
        <w:t>,</w:t>
      </w:r>
      <w:r>
        <w:t xml:space="preserve"> and review the documents, and </w:t>
      </w:r>
      <w:r w:rsidR="00126AE2">
        <w:t xml:space="preserve">eliminates </w:t>
      </w:r>
      <w:r>
        <w:t xml:space="preserve">the delivery and storage costs for the hard copies. </w:t>
      </w:r>
    </w:p>
    <w:p w:rsidR="004E79F2" w:rsidP="005E0EFC" w:rsidRDefault="004E79F2" w14:paraId="33165A8A" w14:textId="77777777">
      <w:pPr>
        <w:ind w:left="1440"/>
        <w:jc w:val="left"/>
      </w:pPr>
    </w:p>
    <w:p w:rsidRPr="003210AC" w:rsidR="000C05BD" w:rsidP="005E0EFC" w:rsidRDefault="000C05BD" w14:paraId="48A2EF78" w14:textId="77777777">
      <w:pPr>
        <w:ind w:left="1440"/>
        <w:jc w:val="left"/>
      </w:pPr>
      <w:r w:rsidRPr="003210AC">
        <w:t>The costs above include the costs necessary to enforce the rule, specifically the following:</w:t>
      </w:r>
    </w:p>
    <w:p w:rsidR="004E79F2" w:rsidP="001A2A1E" w:rsidRDefault="004E79F2" w14:paraId="7B9C25F6" w14:textId="77777777">
      <w:pPr>
        <w:pStyle w:val="ListParagraph"/>
        <w:ind w:left="2160"/>
        <w:jc w:val="left"/>
      </w:pPr>
    </w:p>
    <w:p w:rsidR="000C05BD" w:rsidP="001A2A1E" w:rsidRDefault="000C05BD" w14:paraId="2DC9B792" w14:textId="64223058">
      <w:pPr>
        <w:pStyle w:val="ListParagraph"/>
        <w:ind w:left="2160"/>
        <w:jc w:val="left"/>
      </w:pPr>
      <w:r w:rsidRPr="003210AC">
        <w:t>No cost to state or local government to enforce the rule.</w:t>
      </w:r>
      <w:r w:rsidR="001A2A1E">
        <w:t xml:space="preserve"> IURC staff already </w:t>
      </w:r>
      <w:r w:rsidR="00480E2F">
        <w:t>required</w:t>
      </w:r>
      <w:r w:rsidR="001A2A1E">
        <w:t xml:space="preserve"> parties to follow filing and procedure rules.</w:t>
      </w:r>
      <w:r w:rsidR="00724546">
        <w:t xml:space="preserve"> </w:t>
      </w:r>
      <w:r w:rsidR="001A2A1E">
        <w:t>While the content of some rules changed, enforcement duties are not anticipated to increase.</w:t>
      </w:r>
    </w:p>
    <w:p w:rsidRPr="003210AC" w:rsidR="001A2A1E" w:rsidP="001A2A1E" w:rsidRDefault="001A2A1E" w14:paraId="0887E6AD" w14:textId="77777777">
      <w:pPr>
        <w:ind w:left="2160"/>
        <w:jc w:val="left"/>
      </w:pPr>
    </w:p>
    <w:p w:rsidR="000C05BD" w:rsidP="005E0EFC" w:rsidRDefault="000C05BD" w14:paraId="2E9421E0" w14:textId="77777777">
      <w:pPr>
        <w:pStyle w:val="Heading3"/>
        <w:jc w:val="left"/>
      </w:pPr>
      <w:r>
        <w:t>R</w:t>
      </w:r>
      <w:r w:rsidRPr="00377E76" w:rsidR="00B478ED">
        <w:t>elated c</w:t>
      </w:r>
      <w:r w:rsidR="00B478ED">
        <w:t>itation</w:t>
      </w:r>
      <w:r>
        <w:t>s.</w:t>
      </w:r>
    </w:p>
    <w:p w:rsidR="000C05BD" w:rsidP="005E0EFC" w:rsidRDefault="000C05BD" w14:paraId="03E44CF2" w14:textId="77777777">
      <w:pPr>
        <w:ind w:left="1440"/>
        <w:jc w:val="left"/>
      </w:pPr>
      <w:r>
        <w:t xml:space="preserve">The costs </w:t>
      </w:r>
      <w:r w:rsidR="006B3FA8">
        <w:t>or</w:t>
      </w:r>
      <w:r>
        <w:t xml:space="preserve"> revenues above are related to the following provisions of the rule:</w:t>
      </w:r>
    </w:p>
    <w:p w:rsidR="000C05BD" w:rsidP="005E0EFC" w:rsidRDefault="001A2A1E" w14:paraId="686886BA" w14:textId="04015CF2">
      <w:pPr>
        <w:ind w:left="1440"/>
        <w:jc w:val="left"/>
      </w:pPr>
      <w:r>
        <w:t>170 IAC 1-1.1-3(a) that requires parties to file through the EFS.</w:t>
      </w:r>
    </w:p>
    <w:p w:rsidR="00C471BC" w:rsidP="005E0EFC" w:rsidRDefault="00C471BC" w14:paraId="0D056ADC" w14:textId="77777777">
      <w:pPr>
        <w:pStyle w:val="Heading2"/>
        <w:jc w:val="left"/>
      </w:pPr>
      <w:r>
        <w:t>A</w:t>
      </w:r>
      <w:r w:rsidRPr="00377E76" w:rsidR="00AE044A">
        <w:t>ppropriation</w:t>
      </w:r>
      <w:r>
        <w:t>s</w:t>
      </w:r>
      <w:r w:rsidR="00DF477F">
        <w:t>, D</w:t>
      </w:r>
      <w:r w:rsidRPr="00377E76" w:rsidR="00AE044A">
        <w:t>istribution</w:t>
      </w:r>
      <w:r>
        <w:t>s</w:t>
      </w:r>
      <w:r w:rsidR="00DF477F">
        <w:t>, or Other E</w:t>
      </w:r>
      <w:r w:rsidRPr="00377E76" w:rsidR="00AE044A">
        <w:t xml:space="preserve">xpenditures of </w:t>
      </w:r>
      <w:r w:rsidR="00DF477F">
        <w:t>R</w:t>
      </w:r>
      <w:r w:rsidRPr="00377E76" w:rsidR="00AE044A">
        <w:t>evenue</w:t>
      </w:r>
      <w:r w:rsidR="00DF477F">
        <w:t xml:space="preserve"> Affected by the Rule.</w:t>
      </w:r>
    </w:p>
    <w:p w:rsidR="00C471BC" w:rsidP="005E0EFC" w:rsidRDefault="00C471BC" w14:paraId="23E132DF" w14:textId="77777777">
      <w:pPr>
        <w:pStyle w:val="Heading3"/>
        <w:jc w:val="left"/>
      </w:pPr>
      <w:r>
        <w:t>Appropriations.</w:t>
      </w:r>
    </w:p>
    <w:p w:rsidRPr="004158D1" w:rsidR="00C471BC" w:rsidP="005E0EFC" w:rsidRDefault="00C471BC" w14:paraId="11694A4A" w14:textId="77777777">
      <w:pPr>
        <w:ind w:left="1440"/>
        <w:jc w:val="left"/>
      </w:pPr>
      <w:r w:rsidRPr="004158D1">
        <w:t>The following appropriations are potentially affected by this rule:</w:t>
      </w:r>
    </w:p>
    <w:p w:rsidRPr="004158D1" w:rsidR="00C471BC" w:rsidP="004158D1" w:rsidRDefault="00C471BC" w14:paraId="0F53B1FB" w14:textId="77777777">
      <w:pPr>
        <w:ind w:left="1440"/>
        <w:jc w:val="left"/>
      </w:pPr>
      <w:r w:rsidRPr="004158D1">
        <w:t>None.</w:t>
      </w:r>
    </w:p>
    <w:p w:rsidRPr="004158D1" w:rsidR="00C471BC" w:rsidP="005E0EFC" w:rsidRDefault="00C471BC" w14:paraId="18DFAD66" w14:textId="77777777">
      <w:pPr>
        <w:pStyle w:val="Heading3"/>
        <w:jc w:val="left"/>
      </w:pPr>
      <w:r w:rsidRPr="004158D1">
        <w:t>Distributions.</w:t>
      </w:r>
    </w:p>
    <w:p w:rsidRPr="004158D1" w:rsidR="00C471BC" w:rsidP="005E0EFC" w:rsidRDefault="00C471BC" w14:paraId="580BD2E8" w14:textId="77777777">
      <w:pPr>
        <w:ind w:left="1440"/>
        <w:jc w:val="left"/>
      </w:pPr>
      <w:r w:rsidRPr="004158D1">
        <w:t>The following distributions are potentially affected by this rule:</w:t>
      </w:r>
    </w:p>
    <w:p w:rsidRPr="004158D1" w:rsidR="00C471BC" w:rsidP="004158D1" w:rsidRDefault="00C471BC" w14:paraId="58A6F89A" w14:textId="77777777">
      <w:pPr>
        <w:ind w:left="1440"/>
        <w:jc w:val="left"/>
      </w:pPr>
      <w:r w:rsidRPr="004158D1">
        <w:t>None.</w:t>
      </w:r>
    </w:p>
    <w:p w:rsidRPr="004158D1" w:rsidR="00C471BC" w:rsidP="005E0EFC" w:rsidRDefault="006B3FA8" w14:paraId="189C227C" w14:textId="77777777">
      <w:pPr>
        <w:pStyle w:val="Heading3"/>
        <w:jc w:val="left"/>
      </w:pPr>
      <w:r w:rsidRPr="004158D1">
        <w:t>Expenditures or r</w:t>
      </w:r>
      <w:r w:rsidRPr="004158D1" w:rsidR="00C471BC">
        <w:t>evenue.</w:t>
      </w:r>
    </w:p>
    <w:p w:rsidRPr="004158D1" w:rsidR="00C471BC" w:rsidP="005E0EFC" w:rsidRDefault="00C471BC" w14:paraId="38E3B029" w14:textId="77777777">
      <w:pPr>
        <w:ind w:left="1440"/>
        <w:jc w:val="left"/>
      </w:pPr>
      <w:r w:rsidRPr="004158D1">
        <w:t xml:space="preserve">The following </w:t>
      </w:r>
      <w:r w:rsidRPr="004158D1" w:rsidR="006B3FA8">
        <w:t>expenditures or revenue</w:t>
      </w:r>
      <w:r w:rsidRPr="004158D1">
        <w:t xml:space="preserve"> are potentially affected by this rule:</w:t>
      </w:r>
    </w:p>
    <w:p w:rsidR="00C471BC" w:rsidP="004158D1" w:rsidRDefault="004158D1" w14:paraId="11E9E8D1" w14:textId="0BA5DB65">
      <w:pPr>
        <w:ind w:left="1440"/>
        <w:jc w:val="left"/>
      </w:pPr>
      <w:r w:rsidRPr="004158D1">
        <w:t xml:space="preserve">As discussed in detail </w:t>
      </w:r>
      <w:r>
        <w:t xml:space="preserve">in section III(A)(2), </w:t>
      </w:r>
      <w:r w:rsidRPr="004158D1">
        <w:t>above, the State of Indiana will save at least $107,068 annually as a result of implementation of this rule.</w:t>
      </w:r>
    </w:p>
    <w:p w:rsidR="00C471BC" w:rsidP="005E0EFC" w:rsidRDefault="00C471BC" w14:paraId="55955E2F" w14:textId="77777777">
      <w:pPr>
        <w:pStyle w:val="Heading3"/>
        <w:jc w:val="left"/>
      </w:pPr>
      <w:r>
        <w:t>R</w:t>
      </w:r>
      <w:r w:rsidRPr="00377E76">
        <w:t>elated c</w:t>
      </w:r>
      <w:r>
        <w:t>itations.</w:t>
      </w:r>
    </w:p>
    <w:p w:rsidR="00C471BC" w:rsidP="005E0EFC" w:rsidRDefault="00C471BC" w14:paraId="5E4B1D1F" w14:textId="77777777">
      <w:pPr>
        <w:ind w:left="1440"/>
        <w:jc w:val="left"/>
      </w:pPr>
      <w:r>
        <w:t xml:space="preserve">The costs </w:t>
      </w:r>
      <w:r w:rsidR="006B3FA8">
        <w:t>or</w:t>
      </w:r>
      <w:r>
        <w:t xml:space="preserve"> revenues above are related to the following provisions of the rule:</w:t>
      </w:r>
    </w:p>
    <w:p w:rsidR="00C471BC" w:rsidP="005E0EFC" w:rsidRDefault="004158D1" w14:paraId="02A90542" w14:textId="14FC492A">
      <w:pPr>
        <w:ind w:left="1440"/>
        <w:jc w:val="left"/>
      </w:pPr>
      <w:r>
        <w:t xml:space="preserve">The saved revenues are mostly related to the implementation of 170 IAC 1-1.1-3, which requires electronic filing unless technical problems prevent it. </w:t>
      </w:r>
    </w:p>
    <w:p w:rsidR="00AE044A" w:rsidP="005E0EFC" w:rsidRDefault="003F6B1A" w14:paraId="293B6409" w14:textId="77777777">
      <w:pPr>
        <w:pStyle w:val="Heading2"/>
        <w:jc w:val="left"/>
      </w:pPr>
      <w:r>
        <w:t>A</w:t>
      </w:r>
      <w:r w:rsidRPr="00377E76" w:rsidR="00AE044A">
        <w:t xml:space="preserve">dministrative </w:t>
      </w:r>
      <w:r w:rsidR="00DF477F">
        <w:t>Impact to S</w:t>
      </w:r>
      <w:r w:rsidRPr="00377E76" w:rsidR="00AE044A">
        <w:t xml:space="preserve">tate and </w:t>
      </w:r>
      <w:r w:rsidR="00DF477F">
        <w:t>L</w:t>
      </w:r>
      <w:r w:rsidRPr="00377E76" w:rsidR="00AE044A">
        <w:t xml:space="preserve">ocal </w:t>
      </w:r>
      <w:r w:rsidR="00DF477F">
        <w:t>G</w:t>
      </w:r>
      <w:r w:rsidRPr="00377E76" w:rsidR="00AE044A">
        <w:t>overnments</w:t>
      </w:r>
      <w:r>
        <w:t>.</w:t>
      </w:r>
    </w:p>
    <w:p w:rsidRPr="004158D1" w:rsidR="004158D1" w:rsidP="00641E91" w:rsidRDefault="004158D1" w14:paraId="2B80FE7D" w14:textId="7FBE5FED">
      <w:pPr>
        <w:ind w:left="720"/>
        <w:jc w:val="left"/>
      </w:pPr>
      <w:r>
        <w:t xml:space="preserve">The administrative impact to the State of Indiana is explained </w:t>
      </w:r>
      <w:r w:rsidRPr="004158D1">
        <w:t xml:space="preserve">in detail </w:t>
      </w:r>
      <w:r>
        <w:t xml:space="preserve">in section III(A)(2), </w:t>
      </w:r>
      <w:r w:rsidRPr="004158D1">
        <w:t>above</w:t>
      </w:r>
      <w:r>
        <w:t>.</w:t>
      </w:r>
    </w:p>
    <w:p w:rsidR="003F6B1A" w:rsidP="005E0EFC" w:rsidRDefault="003F6B1A" w14:paraId="59E8E368" w14:textId="77777777">
      <w:pPr>
        <w:pStyle w:val="Heading3"/>
        <w:jc w:val="left"/>
      </w:pPr>
      <w:r>
        <w:t>R</w:t>
      </w:r>
      <w:r w:rsidRPr="00377E76">
        <w:t>elated c</w:t>
      </w:r>
      <w:r>
        <w:t>itations.</w:t>
      </w:r>
    </w:p>
    <w:p w:rsidR="003F6B1A" w:rsidP="005E0EFC" w:rsidRDefault="003F6B1A" w14:paraId="5668E233" w14:textId="77777777">
      <w:pPr>
        <w:ind w:left="1440"/>
        <w:jc w:val="left"/>
      </w:pPr>
      <w:r>
        <w:t xml:space="preserve">The costs </w:t>
      </w:r>
      <w:r w:rsidR="006B3FA8">
        <w:t>or</w:t>
      </w:r>
      <w:r>
        <w:t xml:space="preserve"> revenues above are related to the following provisions of the rule:</w:t>
      </w:r>
    </w:p>
    <w:p w:rsidR="004158D1" w:rsidP="004158D1" w:rsidRDefault="004158D1" w14:paraId="02581340" w14:textId="5DBA91E1">
      <w:pPr>
        <w:ind w:left="1440"/>
        <w:jc w:val="left"/>
      </w:pPr>
      <w:r>
        <w:t xml:space="preserve">The saved revenues are mostly related to the implementation of 170 IAC 1-1.1-3, which requires electronic filing unless technical problems prevent it. </w:t>
      </w:r>
    </w:p>
    <w:p w:rsidR="003F6B1A" w:rsidP="005E0EFC" w:rsidRDefault="003F6B1A" w14:paraId="61DB9B2A" w14:textId="77777777">
      <w:pPr>
        <w:pStyle w:val="Heading2"/>
        <w:jc w:val="left"/>
      </w:pPr>
      <w:r>
        <w:t xml:space="preserve">Unfunded </w:t>
      </w:r>
      <w:r w:rsidR="00DF477F">
        <w:t>M</w:t>
      </w:r>
      <w:r>
        <w:t>andate.</w:t>
      </w:r>
    </w:p>
    <w:p w:rsidR="00AE044A" w:rsidP="005E0EFC" w:rsidRDefault="003F6B1A" w14:paraId="40DC78BE" w14:textId="0284FB9E">
      <w:pPr>
        <w:ind w:left="720"/>
        <w:jc w:val="left"/>
      </w:pPr>
      <w:r w:rsidRPr="001A2A1E">
        <w:t xml:space="preserve">The Commission </w:t>
      </w:r>
      <w:r w:rsidR="00EB3743">
        <w:t>determined</w:t>
      </w:r>
      <w:r w:rsidRPr="001A2A1E">
        <w:t xml:space="preserve"> </w:t>
      </w:r>
      <w:r w:rsidRPr="001A2A1E" w:rsidR="001A2A1E">
        <w:t>that</w:t>
      </w:r>
      <w:r w:rsidRPr="001A2A1E" w:rsidR="0010136E">
        <w:t xml:space="preserve"> the proposed rule </w:t>
      </w:r>
      <w:r w:rsidRPr="001A2A1E" w:rsidR="001A2A1E">
        <w:t>does not create</w:t>
      </w:r>
      <w:r w:rsidRPr="001A2A1E" w:rsidR="0010136E">
        <w:t xml:space="preserve"> an unfunded mandate on a state </w:t>
      </w:r>
      <w:r w:rsidRPr="001A2A1E">
        <w:t>agency or political subdivision.</w:t>
      </w:r>
      <w:r w:rsidR="00724546">
        <w:t xml:space="preserve"> </w:t>
      </w:r>
      <w:r w:rsidR="00EB3743">
        <w:t xml:space="preserve">Parties, including state agencies, </w:t>
      </w:r>
      <w:r w:rsidR="00E11AD4">
        <w:t xml:space="preserve">are </w:t>
      </w:r>
      <w:r w:rsidR="00EB3743">
        <w:t>already voluntarily using the EFS rather than filing hard copies.</w:t>
      </w:r>
      <w:r w:rsidR="00724546">
        <w:t xml:space="preserve"> </w:t>
      </w:r>
      <w:r w:rsidR="00EB3743">
        <w:t>The Office of Utility Consumer Counselor (OUCC) provided financial impact comments stating:</w:t>
      </w:r>
    </w:p>
    <w:p w:rsidR="00EB3743" w:rsidP="005E0EFC" w:rsidRDefault="00EB3743" w14:paraId="77A1CA3B" w14:textId="77777777">
      <w:pPr>
        <w:ind w:left="720"/>
        <w:jc w:val="left"/>
      </w:pPr>
    </w:p>
    <w:p w:rsidRPr="00D308AB" w:rsidR="00EB3743" w:rsidP="00EB3743" w:rsidRDefault="00EB3743" w14:paraId="14D840FB" w14:textId="2A810FB0">
      <w:pPr>
        <w:ind w:left="1440" w:right="720"/>
        <w:jc w:val="left"/>
      </w:pPr>
      <w:r>
        <w:t>The OUCC has used electronic service of documents extensively for many years, so there weren’t significant new savings from reduced expenses for copying, mailing</w:t>
      </w:r>
      <w:r w:rsidR="006B1C97">
        <w:t>,</w:t>
      </w:r>
      <w:r>
        <w:t xml:space="preserve"> or courier services. The OUCC is based in a different tower of the same office building in which the IURC is located, so it does not take significant personnel hours to hand-deliver documents for filing with the IURC. However, the OUCC administrative staff has certainly benefitted from added convenience, reduced stress</w:t>
      </w:r>
      <w:r w:rsidR="006B1C97">
        <w:t>,</w:t>
      </w:r>
      <w:r>
        <w:t xml:space="preserve"> and some timing savings from the IURC’s launching of its electronic filing system.</w:t>
      </w:r>
    </w:p>
    <w:p w:rsidRPr="00377E76" w:rsidR="00016DB0" w:rsidP="005E0EFC" w:rsidRDefault="00016DB0" w14:paraId="5D6BB594" w14:textId="77777777">
      <w:pPr>
        <w:pStyle w:val="Heading1"/>
        <w:jc w:val="left"/>
      </w:pPr>
    </w:p>
    <w:sectPr w:rsidRPr="00377E76" w:rsidR="00016DB0" w:rsidSect="00591414">
      <w:footerReference w:type="default" r:id="rId11"/>
      <w:type w:val="continuous"/>
      <w:pgSz w:w="12240" w:h="15840" w:orient="portrait"/>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1BC" w:rsidP="00A07EFF" w:rsidRDefault="00C471BC" w14:paraId="6D5A7C76" w14:textId="77777777">
      <w:r>
        <w:separator/>
      </w:r>
    </w:p>
  </w:endnote>
  <w:endnote w:type="continuationSeparator" w:id="0">
    <w:p w:rsidR="00C471BC" w:rsidP="00A07EFF" w:rsidRDefault="00C471BC" w14:paraId="3036B9C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1011696"/>
      <w:docPartObj>
        <w:docPartGallery w:val="Page Numbers (Bottom of Page)"/>
        <w:docPartUnique/>
      </w:docPartObj>
    </w:sdtPr>
    <w:sdtEndPr/>
    <w:sdtContent>
      <w:sdt>
        <w:sdtPr>
          <w:id w:val="565050477"/>
          <w:docPartObj>
            <w:docPartGallery w:val="Page Numbers (Top of Page)"/>
            <w:docPartUnique/>
          </w:docPartObj>
        </w:sdtPr>
        <w:sdtEndPr/>
        <w:sdtContent>
          <w:p w:rsidR="00C471BC" w:rsidP="00641E91" w:rsidRDefault="00C471BC" w14:paraId="12CF22DE" w14:textId="77777777">
            <w:pPr>
              <w:pStyle w:val="Footer"/>
              <w:jc w:val="center"/>
            </w:pPr>
            <w:r>
              <w:t xml:space="preserve">Page </w:t>
            </w:r>
            <w:r w:rsidR="005E0EFC">
              <w:rPr>
                <w:noProof/>
              </w:rPr>
              <w:fldChar w:fldCharType="begin"/>
            </w:r>
            <w:r w:rsidR="005E0EFC">
              <w:rPr>
                <w:noProof/>
              </w:rPr>
              <w:instrText xml:space="preserve"> PAGE </w:instrText>
            </w:r>
            <w:r w:rsidR="005E0EFC">
              <w:rPr>
                <w:noProof/>
              </w:rPr>
              <w:fldChar w:fldCharType="separate"/>
            </w:r>
            <w:r w:rsidR="00F37D40">
              <w:rPr>
                <w:noProof/>
              </w:rPr>
              <w:t>1</w:t>
            </w:r>
            <w:r w:rsidR="005E0EFC">
              <w:rPr>
                <w:noProof/>
              </w:rPr>
              <w:fldChar w:fldCharType="end"/>
            </w:r>
            <w:r>
              <w:t xml:space="preserve"> of </w:t>
            </w:r>
            <w:r w:rsidR="005E0EFC">
              <w:rPr>
                <w:noProof/>
              </w:rPr>
              <w:fldChar w:fldCharType="begin"/>
            </w:r>
            <w:r w:rsidR="005E0EFC">
              <w:rPr>
                <w:noProof/>
              </w:rPr>
              <w:instrText xml:space="preserve"> NUMPAGES  </w:instrText>
            </w:r>
            <w:r w:rsidR="005E0EFC">
              <w:rPr>
                <w:noProof/>
              </w:rPr>
              <w:fldChar w:fldCharType="separate"/>
            </w:r>
            <w:r w:rsidR="00F37D40">
              <w:rPr>
                <w:noProof/>
              </w:rPr>
              <w:t>4</w:t>
            </w:r>
            <w:r w:rsidR="005E0EFC">
              <w:rPr>
                <w:noProof/>
              </w:rPr>
              <w:fldChar w:fldCharType="end"/>
            </w:r>
          </w:p>
        </w:sdtContent>
      </w:sdt>
    </w:sdtContent>
  </w:sdt>
  <w:p w:rsidR="00C471BC" w:rsidP="00A07EFF" w:rsidRDefault="00C471BC" w14:paraId="2F7967EE"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1BC" w:rsidP="00A07EFF" w:rsidRDefault="00C471BC" w14:paraId="37BA266C" w14:textId="77777777">
      <w:r>
        <w:separator/>
      </w:r>
    </w:p>
  </w:footnote>
  <w:footnote w:type="continuationSeparator" w:id="0">
    <w:p w:rsidR="00C471BC" w:rsidP="00A07EFF" w:rsidRDefault="00C471BC" w14:paraId="4E5877DD"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7CED"/>
    <w:multiLevelType w:val="hybridMultilevel"/>
    <w:tmpl w:val="F076A8B4"/>
    <w:lvl w:ilvl="0" w:tplc="E6FE6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32472E"/>
    <w:multiLevelType w:val="singleLevel"/>
    <w:tmpl w:val="46729AA7"/>
    <w:lvl w:ilvl="0">
      <w:numFmt w:val="bullet"/>
      <w:lvlText w:val="·"/>
      <w:lvlJc w:val="left"/>
      <w:pPr>
        <w:tabs>
          <w:tab w:val="num" w:pos="360"/>
        </w:tabs>
        <w:ind w:left="432"/>
      </w:pPr>
      <w:rPr>
        <w:rFonts w:ascii="Symbol" w:hAnsi="Symbol" w:cs="Symbol"/>
        <w:snapToGrid/>
        <w:sz w:val="24"/>
        <w:szCs w:val="24"/>
      </w:rPr>
    </w:lvl>
  </w:abstractNum>
  <w:abstractNum w:abstractNumId="2" w15:restartNumberingAfterBreak="0">
    <w:nsid w:val="06662B9E"/>
    <w:multiLevelType w:val="hybridMultilevel"/>
    <w:tmpl w:val="357AFBAC"/>
    <w:lvl w:ilvl="0" w:tplc="E6FE6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83482A"/>
    <w:multiLevelType w:val="hybridMultilevel"/>
    <w:tmpl w:val="BED0D9DC"/>
    <w:lvl w:ilvl="0" w:tplc="CBD6855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CE5EE4"/>
    <w:multiLevelType w:val="hybridMultilevel"/>
    <w:tmpl w:val="01FA17C4"/>
    <w:lvl w:ilvl="0" w:tplc="1F4E5E3E">
      <w:start w:val="4"/>
      <w:numFmt w:val="bullet"/>
      <w:lvlText w:val="-"/>
      <w:lvlJc w:val="left"/>
      <w:pPr>
        <w:ind w:left="1080" w:hanging="360"/>
      </w:pPr>
      <w:rPr>
        <w:rFonts w:hint="default" w:ascii="Times New Roman" w:hAnsi="Times New Roman" w:eastAsia="Times New Roman" w:cs="Times New Roman"/>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 w15:restartNumberingAfterBreak="0">
    <w:nsid w:val="1C01777B"/>
    <w:multiLevelType w:val="hybridMultilevel"/>
    <w:tmpl w:val="9EB27E5C"/>
    <w:lvl w:ilvl="0" w:tplc="F01C22C8">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2BCA1EB0"/>
    <w:multiLevelType w:val="hybridMultilevel"/>
    <w:tmpl w:val="1FB4C03A"/>
    <w:lvl w:ilvl="0" w:tplc="24648150">
      <w:start w:val="1"/>
      <w:numFmt w:val="upperLetter"/>
      <w:pStyle w:val="Heading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0432D8"/>
    <w:multiLevelType w:val="hybridMultilevel"/>
    <w:tmpl w:val="1C5417F2"/>
    <w:lvl w:ilvl="0" w:tplc="FB2447E8">
      <w:start w:val="1"/>
      <w:numFmt w:val="upp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B2530F"/>
    <w:multiLevelType w:val="hybridMultilevel"/>
    <w:tmpl w:val="69345F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0700DC6"/>
    <w:multiLevelType w:val="hybridMultilevel"/>
    <w:tmpl w:val="CF8A90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5F2DE4"/>
    <w:multiLevelType w:val="hybridMultilevel"/>
    <w:tmpl w:val="357AFBAC"/>
    <w:lvl w:ilvl="0" w:tplc="E6FE6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645F78"/>
    <w:multiLevelType w:val="hybridMultilevel"/>
    <w:tmpl w:val="F076A8B4"/>
    <w:lvl w:ilvl="0" w:tplc="E6FE6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B0528B7"/>
    <w:multiLevelType w:val="hybridMultilevel"/>
    <w:tmpl w:val="6CBA9A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BEE106D"/>
    <w:multiLevelType w:val="hybridMultilevel"/>
    <w:tmpl w:val="357AFBAC"/>
    <w:lvl w:ilvl="0" w:tplc="E6FE6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7432FDA"/>
    <w:multiLevelType w:val="hybridMultilevel"/>
    <w:tmpl w:val="69345F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CEF24C8"/>
    <w:multiLevelType w:val="hybridMultilevel"/>
    <w:tmpl w:val="F076A8B4"/>
    <w:lvl w:ilvl="0" w:tplc="E6FE6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D46464C"/>
    <w:multiLevelType w:val="hybridMultilevel"/>
    <w:tmpl w:val="464638C8"/>
    <w:lvl w:ilvl="0" w:tplc="20EC76C0">
      <w:start w:val="1"/>
      <w:numFmt w:val="decimal"/>
      <w:lvlText w:val="%1)"/>
      <w:lvlJc w:val="left"/>
      <w:pPr>
        <w:ind w:left="1080" w:hanging="360"/>
      </w:pPr>
      <w:rPr>
        <w:rFonts w:hint="default"/>
      </w:rPr>
    </w:lvl>
    <w:lvl w:ilvl="1" w:tplc="AEB87DA8">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A066EB"/>
    <w:multiLevelType w:val="hybridMultilevel"/>
    <w:tmpl w:val="F076A8B4"/>
    <w:lvl w:ilvl="0" w:tplc="E6FE62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1"/>
    <w:lvlOverride w:ilvl="0">
      <w:lvl w:ilvl="0">
        <w:numFmt w:val="bullet"/>
        <w:lvlText w:val="·"/>
        <w:lvlJc w:val="left"/>
        <w:pPr>
          <w:tabs>
            <w:tab w:val="num" w:pos="432"/>
          </w:tabs>
          <w:ind w:left="792" w:hanging="432"/>
        </w:pPr>
        <w:rPr>
          <w:rFonts w:ascii="Symbol" w:hAnsi="Symbol" w:cs="Symbol"/>
          <w:b/>
          <w:bCs/>
          <w:snapToGrid/>
          <w:spacing w:val="-4"/>
          <w:sz w:val="24"/>
          <w:szCs w:val="24"/>
        </w:rPr>
      </w:lvl>
    </w:lvlOverride>
  </w:num>
  <w:num w:numId="3">
    <w:abstractNumId w:val="1"/>
    <w:lvlOverride w:ilvl="0">
      <w:lvl w:ilvl="0">
        <w:numFmt w:val="bullet"/>
        <w:lvlText w:val="·"/>
        <w:lvlJc w:val="left"/>
        <w:pPr>
          <w:tabs>
            <w:tab w:val="num" w:pos="432"/>
          </w:tabs>
          <w:ind w:left="720" w:hanging="432"/>
        </w:pPr>
        <w:rPr>
          <w:rFonts w:ascii="Symbol" w:hAnsi="Symbol" w:cs="Symbol"/>
          <w:snapToGrid/>
          <w:spacing w:val="-3"/>
          <w:sz w:val="24"/>
          <w:szCs w:val="24"/>
        </w:rPr>
      </w:lvl>
    </w:lvlOverride>
  </w:num>
  <w:num w:numId="4">
    <w:abstractNumId w:val="1"/>
    <w:lvlOverride w:ilvl="0">
      <w:lvl w:ilvl="0">
        <w:numFmt w:val="bullet"/>
        <w:lvlText w:val="·"/>
        <w:lvlJc w:val="left"/>
        <w:pPr>
          <w:tabs>
            <w:tab w:val="num" w:pos="360"/>
          </w:tabs>
          <w:ind w:left="648" w:hanging="360"/>
        </w:pPr>
        <w:rPr>
          <w:rFonts w:ascii="Symbol" w:hAnsi="Symbol" w:cs="Symbol"/>
          <w:snapToGrid/>
          <w:spacing w:val="-4"/>
          <w:sz w:val="24"/>
          <w:szCs w:val="24"/>
        </w:rPr>
      </w:lvl>
    </w:lvlOverride>
  </w:num>
  <w:num w:numId="5">
    <w:abstractNumId w:val="1"/>
    <w:lvlOverride w:ilvl="0">
      <w:lvl w:ilvl="0">
        <w:numFmt w:val="bullet"/>
        <w:lvlText w:val="·"/>
        <w:lvlJc w:val="left"/>
        <w:pPr>
          <w:tabs>
            <w:tab w:val="num" w:pos="360"/>
          </w:tabs>
          <w:ind w:left="648" w:hanging="360"/>
        </w:pPr>
        <w:rPr>
          <w:rFonts w:ascii="Symbol" w:hAnsi="Symbol" w:cs="Symbol"/>
          <w:snapToGrid/>
          <w:spacing w:val="-2"/>
          <w:sz w:val="24"/>
          <w:szCs w:val="24"/>
          <w:u w:val="single"/>
        </w:rPr>
      </w:lvl>
    </w:lvlOverride>
  </w:num>
  <w:num w:numId="6">
    <w:abstractNumId w:val="5"/>
  </w:num>
  <w:num w:numId="7">
    <w:abstractNumId w:val="3"/>
  </w:num>
  <w:num w:numId="8">
    <w:abstractNumId w:val="16"/>
  </w:num>
  <w:num w:numId="9">
    <w:abstractNumId w:val="9"/>
  </w:num>
  <w:num w:numId="10">
    <w:abstractNumId w:val="12"/>
  </w:num>
  <w:num w:numId="11">
    <w:abstractNumId w:val="7"/>
  </w:num>
  <w:num w:numId="12">
    <w:abstractNumId w:val="6"/>
  </w:num>
  <w:num w:numId="13">
    <w:abstractNumId w:val="8"/>
  </w:num>
  <w:num w:numId="14">
    <w:abstractNumId w:val="13"/>
  </w:num>
  <w:num w:numId="15">
    <w:abstractNumId w:val="0"/>
  </w:num>
  <w:num w:numId="16">
    <w:abstractNumId w:val="17"/>
  </w:num>
  <w:num w:numId="17">
    <w:abstractNumId w:val="6"/>
    <w:lvlOverride w:ilvl="0">
      <w:startOverride w:val="1"/>
    </w:lvlOverride>
  </w:num>
  <w:num w:numId="18">
    <w:abstractNumId w:val="14"/>
  </w:num>
  <w:num w:numId="19">
    <w:abstractNumId w:val="2"/>
  </w:num>
  <w:num w:numId="20">
    <w:abstractNumId w:val="15"/>
  </w:num>
  <w:num w:numId="21">
    <w:abstractNumId w:val="11"/>
  </w:num>
  <w:num w:numId="22">
    <w:abstractNumId w:val="10"/>
  </w:num>
  <w:num w:numId="23">
    <w:abstractNumId w:val="6"/>
    <w:lvlOverride w:ilvl="0">
      <w:startOverride w:val="1"/>
    </w:lvlOverride>
  </w:num>
  <w:num w:numId="24">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embedSystemFonts/>
  <w:defaultTabStop w:val="720"/>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47105">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3F9"/>
    <w:rsid w:val="000129C8"/>
    <w:rsid w:val="00016DB0"/>
    <w:rsid w:val="00032F54"/>
    <w:rsid w:val="00074431"/>
    <w:rsid w:val="00083666"/>
    <w:rsid w:val="00093C2A"/>
    <w:rsid w:val="000B1206"/>
    <w:rsid w:val="000B212D"/>
    <w:rsid w:val="000C05BD"/>
    <w:rsid w:val="000E181D"/>
    <w:rsid w:val="000E415B"/>
    <w:rsid w:val="000F6CC7"/>
    <w:rsid w:val="0010136E"/>
    <w:rsid w:val="00107913"/>
    <w:rsid w:val="00114D2B"/>
    <w:rsid w:val="00126AE2"/>
    <w:rsid w:val="00131231"/>
    <w:rsid w:val="00135FA4"/>
    <w:rsid w:val="00197E03"/>
    <w:rsid w:val="001A2A1E"/>
    <w:rsid w:val="001B7F61"/>
    <w:rsid w:val="001C6F5D"/>
    <w:rsid w:val="001D060D"/>
    <w:rsid w:val="001D47C5"/>
    <w:rsid w:val="001E0BAF"/>
    <w:rsid w:val="001E7CE3"/>
    <w:rsid w:val="002063F9"/>
    <w:rsid w:val="002211F3"/>
    <w:rsid w:val="00265A43"/>
    <w:rsid w:val="00283D85"/>
    <w:rsid w:val="0028717C"/>
    <w:rsid w:val="00291BDA"/>
    <w:rsid w:val="00295F4A"/>
    <w:rsid w:val="002A7E57"/>
    <w:rsid w:val="002C18EF"/>
    <w:rsid w:val="002C57DC"/>
    <w:rsid w:val="002E507B"/>
    <w:rsid w:val="00305CAB"/>
    <w:rsid w:val="00317F37"/>
    <w:rsid w:val="003210AC"/>
    <w:rsid w:val="003268AD"/>
    <w:rsid w:val="0033179B"/>
    <w:rsid w:val="0033488E"/>
    <w:rsid w:val="00344E13"/>
    <w:rsid w:val="00374BC7"/>
    <w:rsid w:val="00377E76"/>
    <w:rsid w:val="0038254E"/>
    <w:rsid w:val="003964D1"/>
    <w:rsid w:val="003B3284"/>
    <w:rsid w:val="003B338F"/>
    <w:rsid w:val="003F6B1A"/>
    <w:rsid w:val="0040572A"/>
    <w:rsid w:val="004158D1"/>
    <w:rsid w:val="00427AA8"/>
    <w:rsid w:val="00453BA2"/>
    <w:rsid w:val="004676B6"/>
    <w:rsid w:val="00470738"/>
    <w:rsid w:val="00480E2F"/>
    <w:rsid w:val="00495311"/>
    <w:rsid w:val="00496352"/>
    <w:rsid w:val="004D6BA2"/>
    <w:rsid w:val="004E79F2"/>
    <w:rsid w:val="004E7DF7"/>
    <w:rsid w:val="00504761"/>
    <w:rsid w:val="00536A41"/>
    <w:rsid w:val="00537D38"/>
    <w:rsid w:val="0056749B"/>
    <w:rsid w:val="00571006"/>
    <w:rsid w:val="00591414"/>
    <w:rsid w:val="005A6691"/>
    <w:rsid w:val="005B19EE"/>
    <w:rsid w:val="005B4533"/>
    <w:rsid w:val="005C38E8"/>
    <w:rsid w:val="005E017C"/>
    <w:rsid w:val="005E0EFC"/>
    <w:rsid w:val="005E2010"/>
    <w:rsid w:val="005E2E57"/>
    <w:rsid w:val="005E6D8D"/>
    <w:rsid w:val="005E74F1"/>
    <w:rsid w:val="00604AB1"/>
    <w:rsid w:val="0061033E"/>
    <w:rsid w:val="00614CEE"/>
    <w:rsid w:val="00625B78"/>
    <w:rsid w:val="006332D1"/>
    <w:rsid w:val="006341E6"/>
    <w:rsid w:val="006358D8"/>
    <w:rsid w:val="00641598"/>
    <w:rsid w:val="00641E91"/>
    <w:rsid w:val="00653FB3"/>
    <w:rsid w:val="006702C4"/>
    <w:rsid w:val="006A10F6"/>
    <w:rsid w:val="006B1C97"/>
    <w:rsid w:val="006B2DD9"/>
    <w:rsid w:val="006B3FA8"/>
    <w:rsid w:val="006C5AF2"/>
    <w:rsid w:val="006C79B3"/>
    <w:rsid w:val="006E3330"/>
    <w:rsid w:val="006E5494"/>
    <w:rsid w:val="0071416D"/>
    <w:rsid w:val="00714E25"/>
    <w:rsid w:val="00724546"/>
    <w:rsid w:val="0073395E"/>
    <w:rsid w:val="00734907"/>
    <w:rsid w:val="00740BDC"/>
    <w:rsid w:val="007527C7"/>
    <w:rsid w:val="00760C3F"/>
    <w:rsid w:val="00765B43"/>
    <w:rsid w:val="007724D5"/>
    <w:rsid w:val="007809DC"/>
    <w:rsid w:val="0079318D"/>
    <w:rsid w:val="00794C1E"/>
    <w:rsid w:val="007B0089"/>
    <w:rsid w:val="007C16B3"/>
    <w:rsid w:val="007C4F2E"/>
    <w:rsid w:val="007D0367"/>
    <w:rsid w:val="007D7C64"/>
    <w:rsid w:val="007F7154"/>
    <w:rsid w:val="008268DF"/>
    <w:rsid w:val="00833424"/>
    <w:rsid w:val="0083394E"/>
    <w:rsid w:val="00857639"/>
    <w:rsid w:val="00857C03"/>
    <w:rsid w:val="00861256"/>
    <w:rsid w:val="00863EF6"/>
    <w:rsid w:val="008762B9"/>
    <w:rsid w:val="00881361"/>
    <w:rsid w:val="00893B1D"/>
    <w:rsid w:val="008B577F"/>
    <w:rsid w:val="008C2F5C"/>
    <w:rsid w:val="008C42FB"/>
    <w:rsid w:val="008D205C"/>
    <w:rsid w:val="008D401C"/>
    <w:rsid w:val="008D538B"/>
    <w:rsid w:val="008D6E0F"/>
    <w:rsid w:val="00900C9A"/>
    <w:rsid w:val="00922AC6"/>
    <w:rsid w:val="00923BFA"/>
    <w:rsid w:val="0092672B"/>
    <w:rsid w:val="00945EC3"/>
    <w:rsid w:val="00951897"/>
    <w:rsid w:val="00964550"/>
    <w:rsid w:val="00965469"/>
    <w:rsid w:val="00991AFB"/>
    <w:rsid w:val="009A66E5"/>
    <w:rsid w:val="009C536E"/>
    <w:rsid w:val="009C7351"/>
    <w:rsid w:val="009D273B"/>
    <w:rsid w:val="009E3808"/>
    <w:rsid w:val="009F1214"/>
    <w:rsid w:val="00A06470"/>
    <w:rsid w:val="00A07EFF"/>
    <w:rsid w:val="00A10355"/>
    <w:rsid w:val="00A133F8"/>
    <w:rsid w:val="00A3513A"/>
    <w:rsid w:val="00A5354A"/>
    <w:rsid w:val="00A60008"/>
    <w:rsid w:val="00A60E8F"/>
    <w:rsid w:val="00A6108B"/>
    <w:rsid w:val="00A6586C"/>
    <w:rsid w:val="00A802AD"/>
    <w:rsid w:val="00A8795C"/>
    <w:rsid w:val="00A8797C"/>
    <w:rsid w:val="00AA0285"/>
    <w:rsid w:val="00AA0ABD"/>
    <w:rsid w:val="00AC1ACE"/>
    <w:rsid w:val="00AC441A"/>
    <w:rsid w:val="00AE044A"/>
    <w:rsid w:val="00B00356"/>
    <w:rsid w:val="00B01CE7"/>
    <w:rsid w:val="00B0554A"/>
    <w:rsid w:val="00B47674"/>
    <w:rsid w:val="00B478ED"/>
    <w:rsid w:val="00B5726E"/>
    <w:rsid w:val="00B94DA2"/>
    <w:rsid w:val="00BA3558"/>
    <w:rsid w:val="00BA6C9A"/>
    <w:rsid w:val="00BB6D4F"/>
    <w:rsid w:val="00BC58DB"/>
    <w:rsid w:val="00BD368D"/>
    <w:rsid w:val="00C04A48"/>
    <w:rsid w:val="00C14159"/>
    <w:rsid w:val="00C179A3"/>
    <w:rsid w:val="00C3275E"/>
    <w:rsid w:val="00C471BC"/>
    <w:rsid w:val="00C72235"/>
    <w:rsid w:val="00C73FEA"/>
    <w:rsid w:val="00C76B4E"/>
    <w:rsid w:val="00C77CBF"/>
    <w:rsid w:val="00C82BC3"/>
    <w:rsid w:val="00C835C5"/>
    <w:rsid w:val="00C921B1"/>
    <w:rsid w:val="00CC1A9D"/>
    <w:rsid w:val="00CD4C6B"/>
    <w:rsid w:val="00D1141D"/>
    <w:rsid w:val="00D16407"/>
    <w:rsid w:val="00D25983"/>
    <w:rsid w:val="00D308AB"/>
    <w:rsid w:val="00D31857"/>
    <w:rsid w:val="00D515A2"/>
    <w:rsid w:val="00D614C6"/>
    <w:rsid w:val="00D64908"/>
    <w:rsid w:val="00D73674"/>
    <w:rsid w:val="00D74022"/>
    <w:rsid w:val="00D87859"/>
    <w:rsid w:val="00D92903"/>
    <w:rsid w:val="00DA0C23"/>
    <w:rsid w:val="00DB6C15"/>
    <w:rsid w:val="00DB6D2B"/>
    <w:rsid w:val="00DF477F"/>
    <w:rsid w:val="00DF6610"/>
    <w:rsid w:val="00E066C6"/>
    <w:rsid w:val="00E11AD4"/>
    <w:rsid w:val="00E126DC"/>
    <w:rsid w:val="00E217B7"/>
    <w:rsid w:val="00E34F38"/>
    <w:rsid w:val="00E63AD7"/>
    <w:rsid w:val="00E64C3E"/>
    <w:rsid w:val="00E760BD"/>
    <w:rsid w:val="00E77ABC"/>
    <w:rsid w:val="00E97DEF"/>
    <w:rsid w:val="00EB227A"/>
    <w:rsid w:val="00EB3743"/>
    <w:rsid w:val="00ED36AB"/>
    <w:rsid w:val="00EF2C69"/>
    <w:rsid w:val="00EF3FB9"/>
    <w:rsid w:val="00F1030B"/>
    <w:rsid w:val="00F208EB"/>
    <w:rsid w:val="00F23F7E"/>
    <w:rsid w:val="00F37D40"/>
    <w:rsid w:val="00F37D78"/>
    <w:rsid w:val="00F563DB"/>
    <w:rsid w:val="00F73292"/>
    <w:rsid w:val="00F74C70"/>
    <w:rsid w:val="00F76BCE"/>
    <w:rsid w:val="00F82619"/>
    <w:rsid w:val="00F87A59"/>
    <w:rsid w:val="00F92153"/>
    <w:rsid w:val="00FA09AA"/>
    <w:rsid w:val="00FD3EAC"/>
    <w:rsid w:val="00FE2CDC"/>
    <w:rsid w:val="00FE5D4A"/>
    <w:rsid w:val="66E1B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colormenu v:ext="edit" fillcolor="none"/>
    </o:shapedefaults>
    <o:shapelayout v:ext="edit">
      <o:idmap v:ext="edit" data="1"/>
    </o:shapelayout>
  </w:shapeDefaults>
  <w:decimalSymbol w:val="."/>
  <w:listSeparator w:val=","/>
  <w14:docId w14:val="62E5C414"/>
  <w15:docId w15:val="{174E6B62-8731-4AEE-91E7-7E18804CB06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99"/>
    <w:qFormat/>
    <w:rsid w:val="00A07EFF"/>
    <w:pPr>
      <w:widowControl w:val="0"/>
      <w:autoSpaceDE w:val="0"/>
      <w:autoSpaceDN w:val="0"/>
      <w:adjustRightInd w:val="0"/>
      <w:jc w:val="both"/>
    </w:pPr>
    <w:rPr>
      <w:rFonts w:ascii="Times New Roman" w:hAnsi="Times New Roman"/>
      <w:sz w:val="24"/>
      <w:szCs w:val="24"/>
    </w:rPr>
  </w:style>
  <w:style w:type="paragraph" w:styleId="Heading1">
    <w:name w:val="heading 1"/>
    <w:basedOn w:val="Normal"/>
    <w:next w:val="Normal"/>
    <w:link w:val="Heading1Char"/>
    <w:uiPriority w:val="9"/>
    <w:qFormat/>
    <w:rsid w:val="00A07EFF"/>
    <w:pPr>
      <w:keepNext/>
      <w:keepLines/>
      <w:spacing w:before="240"/>
      <w:jc w:val="center"/>
      <w:outlineLvl w:val="0"/>
    </w:pPr>
    <w:rPr>
      <w:rFonts w:asciiTheme="majorHAnsi" w:hAnsiTheme="majorHAnsi" w:eastAsiaTheme="majorEastAsia" w:cstheme="majorBidi"/>
      <w:b/>
      <w:bCs/>
      <w:sz w:val="28"/>
      <w:szCs w:val="28"/>
    </w:rPr>
  </w:style>
  <w:style w:type="paragraph" w:styleId="Heading2">
    <w:name w:val="heading 2"/>
    <w:basedOn w:val="Normal"/>
    <w:next w:val="Normal"/>
    <w:link w:val="Heading2Char"/>
    <w:uiPriority w:val="9"/>
    <w:unhideWhenUsed/>
    <w:qFormat/>
    <w:rsid w:val="00D64908"/>
    <w:pPr>
      <w:keepNext/>
      <w:keepLines/>
      <w:numPr>
        <w:numId w:val="11"/>
      </w:numPr>
      <w:spacing w:before="200"/>
      <w:outlineLvl w:val="1"/>
    </w:pPr>
    <w:rPr>
      <w:rFonts w:eastAsiaTheme="majorEastAsia"/>
      <w:b/>
      <w:bCs/>
    </w:rPr>
  </w:style>
  <w:style w:type="paragraph" w:styleId="Heading3">
    <w:name w:val="heading 3"/>
    <w:basedOn w:val="Normal"/>
    <w:next w:val="Normal"/>
    <w:link w:val="Heading3Char"/>
    <w:uiPriority w:val="9"/>
    <w:unhideWhenUsed/>
    <w:qFormat/>
    <w:rsid w:val="00D64908"/>
    <w:pPr>
      <w:keepNext/>
      <w:keepLines/>
      <w:numPr>
        <w:numId w:val="12"/>
      </w:numPr>
      <w:spacing w:before="240" w:after="60"/>
      <w:ind w:hanging="720"/>
      <w:outlineLvl w:val="2"/>
    </w:pPr>
    <w:rPr>
      <w:rFonts w:eastAsiaTheme="majorEastAsia"/>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73395E"/>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rsid w:val="00016DB0"/>
    <w:pPr>
      <w:ind w:left="720"/>
      <w:contextualSpacing/>
    </w:pPr>
  </w:style>
  <w:style w:type="character" w:styleId="CommentReference">
    <w:name w:val="annotation reference"/>
    <w:basedOn w:val="DefaultParagraphFont"/>
    <w:uiPriority w:val="99"/>
    <w:semiHidden/>
    <w:unhideWhenUsed/>
    <w:rsid w:val="00AE044A"/>
    <w:rPr>
      <w:sz w:val="16"/>
      <w:szCs w:val="16"/>
    </w:rPr>
  </w:style>
  <w:style w:type="paragraph" w:styleId="CommentText">
    <w:name w:val="annotation text"/>
    <w:basedOn w:val="Normal"/>
    <w:link w:val="CommentTextChar"/>
    <w:uiPriority w:val="99"/>
    <w:semiHidden/>
    <w:unhideWhenUsed/>
    <w:rsid w:val="00AE044A"/>
  </w:style>
  <w:style w:type="character" w:styleId="CommentTextChar" w:customStyle="1">
    <w:name w:val="Comment Text Char"/>
    <w:basedOn w:val="DefaultParagraphFont"/>
    <w:link w:val="CommentText"/>
    <w:uiPriority w:val="99"/>
    <w:semiHidden/>
    <w:rsid w:val="00AE044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E044A"/>
    <w:rPr>
      <w:b/>
      <w:bCs/>
    </w:rPr>
  </w:style>
  <w:style w:type="character" w:styleId="CommentSubjectChar" w:customStyle="1">
    <w:name w:val="Comment Subject Char"/>
    <w:basedOn w:val="CommentTextChar"/>
    <w:link w:val="CommentSubject"/>
    <w:uiPriority w:val="99"/>
    <w:semiHidden/>
    <w:rsid w:val="00AE044A"/>
    <w:rPr>
      <w:rFonts w:ascii="Times New Roman" w:hAnsi="Times New Roman"/>
      <w:b/>
      <w:bCs/>
    </w:rPr>
  </w:style>
  <w:style w:type="paragraph" w:styleId="BalloonText">
    <w:name w:val="Balloon Text"/>
    <w:basedOn w:val="Normal"/>
    <w:link w:val="BalloonTextChar"/>
    <w:uiPriority w:val="99"/>
    <w:semiHidden/>
    <w:unhideWhenUsed/>
    <w:rsid w:val="00AE044A"/>
    <w:rPr>
      <w:rFonts w:ascii="Tahoma" w:hAnsi="Tahoma" w:cs="Tahoma"/>
      <w:sz w:val="16"/>
      <w:szCs w:val="16"/>
    </w:rPr>
  </w:style>
  <w:style w:type="character" w:styleId="BalloonTextChar" w:customStyle="1">
    <w:name w:val="Balloon Text Char"/>
    <w:basedOn w:val="DefaultParagraphFont"/>
    <w:link w:val="BalloonText"/>
    <w:uiPriority w:val="99"/>
    <w:semiHidden/>
    <w:rsid w:val="00AE044A"/>
    <w:rPr>
      <w:rFonts w:ascii="Tahoma" w:hAnsi="Tahoma" w:cs="Tahoma"/>
      <w:sz w:val="16"/>
      <w:szCs w:val="16"/>
    </w:rPr>
  </w:style>
  <w:style w:type="paragraph" w:styleId="Header">
    <w:name w:val="header"/>
    <w:basedOn w:val="Normal"/>
    <w:link w:val="HeaderChar"/>
    <w:uiPriority w:val="99"/>
    <w:unhideWhenUsed/>
    <w:rsid w:val="00374BC7"/>
    <w:pPr>
      <w:tabs>
        <w:tab w:val="center" w:pos="4680"/>
        <w:tab w:val="right" w:pos="9360"/>
      </w:tabs>
    </w:pPr>
  </w:style>
  <w:style w:type="character" w:styleId="HeaderChar" w:customStyle="1">
    <w:name w:val="Header Char"/>
    <w:basedOn w:val="DefaultParagraphFont"/>
    <w:link w:val="Header"/>
    <w:uiPriority w:val="99"/>
    <w:rsid w:val="00374BC7"/>
    <w:rPr>
      <w:rFonts w:ascii="Times New Roman" w:hAnsi="Times New Roman"/>
    </w:rPr>
  </w:style>
  <w:style w:type="paragraph" w:styleId="Footer">
    <w:name w:val="footer"/>
    <w:basedOn w:val="Normal"/>
    <w:link w:val="FooterChar"/>
    <w:uiPriority w:val="99"/>
    <w:unhideWhenUsed/>
    <w:rsid w:val="00374BC7"/>
    <w:pPr>
      <w:tabs>
        <w:tab w:val="center" w:pos="4680"/>
        <w:tab w:val="right" w:pos="9360"/>
      </w:tabs>
    </w:pPr>
  </w:style>
  <w:style w:type="character" w:styleId="FooterChar" w:customStyle="1">
    <w:name w:val="Footer Char"/>
    <w:basedOn w:val="DefaultParagraphFont"/>
    <w:link w:val="Footer"/>
    <w:uiPriority w:val="99"/>
    <w:rsid w:val="00374BC7"/>
    <w:rPr>
      <w:rFonts w:ascii="Times New Roman" w:hAnsi="Times New Roman"/>
    </w:rPr>
  </w:style>
  <w:style w:type="character" w:styleId="Heading1Char" w:customStyle="1">
    <w:name w:val="Heading 1 Char"/>
    <w:basedOn w:val="DefaultParagraphFont"/>
    <w:link w:val="Heading1"/>
    <w:uiPriority w:val="9"/>
    <w:rsid w:val="00A07EFF"/>
    <w:rPr>
      <w:rFonts w:asciiTheme="majorHAnsi" w:hAnsiTheme="majorHAnsi" w:eastAsiaTheme="majorEastAsia" w:cstheme="majorBidi"/>
      <w:b/>
      <w:bCs/>
      <w:sz w:val="28"/>
      <w:szCs w:val="28"/>
    </w:rPr>
  </w:style>
  <w:style w:type="paragraph" w:styleId="FootnoteText">
    <w:name w:val="footnote text"/>
    <w:basedOn w:val="Normal"/>
    <w:link w:val="FootnoteTextChar"/>
    <w:uiPriority w:val="99"/>
    <w:unhideWhenUsed/>
    <w:rsid w:val="00A07EFF"/>
  </w:style>
  <w:style w:type="character" w:styleId="FootnoteTextChar" w:customStyle="1">
    <w:name w:val="Footnote Text Char"/>
    <w:basedOn w:val="DefaultParagraphFont"/>
    <w:link w:val="FootnoteText"/>
    <w:uiPriority w:val="99"/>
    <w:rsid w:val="00A07EFF"/>
    <w:rPr>
      <w:rFonts w:ascii="Times New Roman" w:hAnsi="Times New Roman"/>
    </w:rPr>
  </w:style>
  <w:style w:type="character" w:styleId="FootnoteReference">
    <w:name w:val="footnote reference"/>
    <w:basedOn w:val="DefaultParagraphFont"/>
    <w:uiPriority w:val="99"/>
    <w:semiHidden/>
    <w:unhideWhenUsed/>
    <w:rsid w:val="00A07EFF"/>
    <w:rPr>
      <w:vertAlign w:val="superscript"/>
    </w:rPr>
  </w:style>
  <w:style w:type="character" w:styleId="Heading2Char" w:customStyle="1">
    <w:name w:val="Heading 2 Char"/>
    <w:basedOn w:val="DefaultParagraphFont"/>
    <w:link w:val="Heading2"/>
    <w:uiPriority w:val="9"/>
    <w:rsid w:val="00D64908"/>
    <w:rPr>
      <w:rFonts w:ascii="Times New Roman" w:hAnsi="Times New Roman" w:eastAsiaTheme="majorEastAsia"/>
      <w:b/>
      <w:bCs/>
      <w:sz w:val="24"/>
      <w:szCs w:val="24"/>
    </w:rPr>
  </w:style>
  <w:style w:type="character" w:styleId="Heading3Char" w:customStyle="1">
    <w:name w:val="Heading 3 Char"/>
    <w:basedOn w:val="DefaultParagraphFont"/>
    <w:link w:val="Heading3"/>
    <w:uiPriority w:val="9"/>
    <w:rsid w:val="00D64908"/>
    <w:rPr>
      <w:rFonts w:ascii="Times New Roman" w:hAnsi="Times New Roman" w:eastAsiaTheme="majorEastAs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word/glossary/document.xml" Id="R9c0a7757ed864e1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c976da0-774b-4b75-970c-5828a73b5093}"/>
      </w:docPartPr>
      <w:docPartBody>
        <w:p w14:paraId="2FF2F74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2" ma:contentTypeDescription="Create a new document." ma:contentTypeScope="" ma:versionID="a4d9c1f2bc3b38421fa2616c07b50a7a">
  <xsd:schema xmlns:xsd="http://www.w3.org/2001/XMLSchema" xmlns:xs="http://www.w3.org/2001/XMLSchema" xmlns:p="http://schemas.microsoft.com/office/2006/metadata/properties" xmlns:ns2="1113b451-1eee-4937-a542-db638fb04653" xmlns:ns3="3159b18a-1c9e-40ae-afe6-d35ac3692f3a" targetNamespace="http://schemas.microsoft.com/office/2006/metadata/properties" ma:root="true" ma:fieldsID="b51021bea1d9fb82e67925185d0f35a1" ns2:_="" ns3:_="">
    <xsd:import namespace="1113b451-1eee-4937-a542-db638fb04653"/>
    <xsd:import namespace="3159b18a-1c9e-40ae-afe6-d35ac3692f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A3EA6-912C-4CD0-982B-8A98CABAF151}">
  <ds:schemaRefs>
    <ds:schemaRef ds:uri="http://purl.org/dc/elements/1.1/"/>
    <ds:schemaRef ds:uri="http://schemas.openxmlformats.org/package/2006/metadata/core-properties"/>
    <ds:schemaRef ds:uri="http://schemas.microsoft.com/office/2006/metadata/properties"/>
    <ds:schemaRef ds:uri="1113b451-1eee-4937-a542-db638fb04653"/>
    <ds:schemaRef ds:uri="http://schemas.microsoft.com/office/infopath/2007/PartnerControls"/>
    <ds:schemaRef ds:uri="http://purl.org/dc/terms/"/>
    <ds:schemaRef ds:uri="http://schemas.microsoft.com/office/2006/documentManagement/types"/>
    <ds:schemaRef ds:uri="3159b18a-1c9e-40ae-afe6-d35ac3692f3a"/>
    <ds:schemaRef ds:uri="http://www.w3.org/XML/1998/namespace"/>
    <ds:schemaRef ds:uri="http://purl.org/dc/dcmitype/"/>
  </ds:schemaRefs>
</ds:datastoreItem>
</file>

<file path=customXml/itemProps2.xml><?xml version="1.0" encoding="utf-8"?>
<ds:datastoreItem xmlns:ds="http://schemas.openxmlformats.org/officeDocument/2006/customXml" ds:itemID="{DB249BD0-70A6-431B-BB66-AC35526F3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092A57-63D1-43E3-8C69-940523A97AB8}">
  <ds:schemaRefs>
    <ds:schemaRef ds:uri="http://schemas.microsoft.com/sharepoint/v3/contenttype/forms"/>
  </ds:schemaRefs>
</ds:datastoreItem>
</file>

<file path=customXml/itemProps4.xml><?xml version="1.0" encoding="utf-8"?>
<ds:datastoreItem xmlns:ds="http://schemas.openxmlformats.org/officeDocument/2006/customXml" ds:itemID="{9149198C-C137-4924-8E24-0CA06F07744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State of Indiana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Jim Adams</dc:creator>
  <lastModifiedBy>Poon, DeAnna</lastModifiedBy>
  <revision>9</revision>
  <lastPrinted>2010-10-08T15:20:00.0000000Z</lastPrinted>
  <dcterms:created xsi:type="dcterms:W3CDTF">2019-02-26T13:56:00.0000000Z</dcterms:created>
  <dcterms:modified xsi:type="dcterms:W3CDTF">2019-07-17T17:39:05.1811289Z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ies>
</file>