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C44A" w14:textId="77777777" w:rsidR="00EC606A" w:rsidRPr="00466304" w:rsidRDefault="007A22D2">
      <w:pPr>
        <w:pStyle w:val="Title"/>
        <w:rPr>
          <w:sz w:val="40"/>
          <w:szCs w:val="40"/>
        </w:rPr>
      </w:pPr>
      <w:bookmarkStart w:id="0" w:name="_hi8dqm6nwpio" w:colFirst="0" w:colLast="0"/>
      <w:bookmarkEnd w:id="0"/>
      <w:r w:rsidRPr="00466304">
        <w:rPr>
          <w:sz w:val="40"/>
          <w:szCs w:val="40"/>
        </w:rPr>
        <w:t>Indiana Digital Library Collection Development Policy</w:t>
      </w:r>
    </w:p>
    <w:p w14:paraId="6FFFC44B" w14:textId="77777777" w:rsidR="00EC606A" w:rsidRDefault="007A22D2">
      <w:pPr>
        <w:spacing w:before="240" w:after="240"/>
        <w:rPr>
          <w:b/>
        </w:rPr>
      </w:pPr>
      <w:r>
        <w:rPr>
          <w:b/>
        </w:rPr>
        <w:t>Purpose</w:t>
      </w:r>
    </w:p>
    <w:p w14:paraId="6FFFC44C" w14:textId="77777777" w:rsidR="00EC606A" w:rsidRDefault="007A22D2">
      <w:pPr>
        <w:spacing w:before="240" w:after="240"/>
      </w:pPr>
      <w:r>
        <w:t>This collection development policy will guide the decisions of the Indiana Digital Library’s (IDL) Collection Management Team (CMT) for consortium purchases. The goal of the collection is to serve the widest range of patron interests across all participating libraries. Member libraries’ Advantage Plus purchases should be governed by their local Collection Development Policy.</w:t>
      </w:r>
    </w:p>
    <w:p w14:paraId="6FFFC44D" w14:textId="77777777" w:rsidR="00EC606A" w:rsidRDefault="007A22D2">
      <w:pPr>
        <w:spacing w:before="240" w:after="240"/>
        <w:rPr>
          <w:b/>
        </w:rPr>
      </w:pPr>
      <w:r>
        <w:rPr>
          <w:b/>
        </w:rPr>
        <w:t>Intellectual Freedom</w:t>
      </w:r>
    </w:p>
    <w:p w14:paraId="6FFFC44E" w14:textId="77777777" w:rsidR="00EC606A" w:rsidRDefault="007A22D2">
      <w:pPr>
        <w:spacing w:before="240" w:after="240"/>
      </w:pPr>
      <w:r>
        <w:t>IDL affirms the American Library Association’s Library Bill of Rights and acknowledges it as a foundation for the selection and deselection of materials in all formats.</w:t>
      </w:r>
    </w:p>
    <w:p w14:paraId="6FFFC44F" w14:textId="77777777" w:rsidR="00EC606A" w:rsidRDefault="007A22D2">
      <w:pPr>
        <w:ind w:left="720"/>
        <w:rPr>
          <w:b/>
        </w:rPr>
      </w:pPr>
      <w:r>
        <w:rPr>
          <w:b/>
        </w:rPr>
        <w:t>Library Bill of Rights</w:t>
      </w:r>
    </w:p>
    <w:p w14:paraId="6FFFC450" w14:textId="77777777" w:rsidR="00EC606A" w:rsidRDefault="007A22D2">
      <w:pPr>
        <w:ind w:left="720"/>
      </w:pPr>
      <w:r>
        <w:t>The American Library Association affirms that all libraries are forums for information and ideas, and that the following basic policies should guide their services.</w:t>
      </w:r>
    </w:p>
    <w:p w14:paraId="6FFFC451" w14:textId="77777777" w:rsidR="00EC606A" w:rsidRDefault="007A22D2">
      <w:pPr>
        <w:ind w:left="720"/>
      </w:pPr>
      <w: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6FFFC452" w14:textId="77777777" w:rsidR="00EC606A" w:rsidRDefault="007A22D2">
      <w:pPr>
        <w:ind w:left="720"/>
      </w:pPr>
      <w:r>
        <w:t>II. Libraries should provide materials and information presenting all points of view on current and historical issues. Materials should not be proscribed or removed because of partisan or doctrinal disapproval.</w:t>
      </w:r>
    </w:p>
    <w:p w14:paraId="6FFFC453" w14:textId="77777777" w:rsidR="00EC606A" w:rsidRDefault="007A22D2">
      <w:pPr>
        <w:ind w:left="720"/>
      </w:pPr>
      <w:r>
        <w:t>III. Libraries should challenge censorship in the fulfillment of their responsibility to provide information and enlightenment.</w:t>
      </w:r>
    </w:p>
    <w:p w14:paraId="6FFFC454" w14:textId="77777777" w:rsidR="00EC606A" w:rsidRDefault="007A22D2">
      <w:pPr>
        <w:ind w:left="720"/>
      </w:pPr>
      <w:r>
        <w:t>IV. Libraries should cooperate with all persons and groups concerned with resisting abridgment of free expression and free access to ideas.</w:t>
      </w:r>
    </w:p>
    <w:p w14:paraId="6FFFC455" w14:textId="77777777" w:rsidR="00EC606A" w:rsidRDefault="007A22D2">
      <w:pPr>
        <w:ind w:left="720"/>
      </w:pPr>
      <w:r>
        <w:t>V. A person’s right to use a library should not be denied or abridged because of origin, age, background, or views.</w:t>
      </w:r>
    </w:p>
    <w:p w14:paraId="6FFFC456" w14:textId="77777777" w:rsidR="00EC606A" w:rsidRDefault="007A22D2">
      <w:pPr>
        <w:ind w:left="720"/>
      </w:pPr>
      <w:r>
        <w:t>VI. Libraries which make exhibit spaces and meeting rooms available to the public they serve should make such facilities available on an equitable basis, regardless of the beliefs or affiliations of individuals or groups requesting their use.</w:t>
      </w:r>
    </w:p>
    <w:p w14:paraId="6FFFC457" w14:textId="77777777" w:rsidR="00EC606A" w:rsidRDefault="007A22D2">
      <w:pPr>
        <w:ind w:left="720"/>
      </w:pPr>
      <w:r>
        <w:t>Adopted June 19, 1939, by the ALA Council; amended October 14, 1944; June 18, 1948; February 2, 1961; June 27, 1967; January 23, 1980; inclusion of “age” reaffirmed January 23, 1996.</w:t>
      </w:r>
    </w:p>
    <w:p w14:paraId="6FFFC458" w14:textId="77777777" w:rsidR="00EC606A" w:rsidRDefault="007A22D2">
      <w:pPr>
        <w:spacing w:before="240" w:after="240"/>
        <w:rPr>
          <w:b/>
        </w:rPr>
      </w:pPr>
      <w:r>
        <w:rPr>
          <w:b/>
        </w:rPr>
        <w:t>Acquisition</w:t>
      </w:r>
    </w:p>
    <w:p w14:paraId="6FFFC459" w14:textId="77777777" w:rsidR="00EC606A" w:rsidRDefault="007A22D2">
      <w:pPr>
        <w:spacing w:before="240" w:after="240"/>
      </w:pPr>
      <w:r>
        <w:t xml:space="preserve">The collection, taken as a whole, will be an excellent and unbiased source of information and recreation. It will include as wide a selection as possible. Subjects and viewpoints will be covered in sufficient depth to meet anticipated and expressed needs. Selection of materials by IDL does not mean endorsement of the contents or views expressed in those materials. The </w:t>
      </w:r>
      <w:r>
        <w:lastRenderedPageBreak/>
        <w:t>collection</w:t>
      </w:r>
      <w:proofErr w:type="gramStart"/>
      <w:r>
        <w:t>, as a whole, will</w:t>
      </w:r>
      <w:proofErr w:type="gramEnd"/>
      <w:r>
        <w:t xml:space="preserve"> be sufficiently diverse to not promote causes, further movements, or endorse viewpoints.</w:t>
      </w:r>
    </w:p>
    <w:p w14:paraId="6FFFC45A" w14:textId="77777777" w:rsidR="00EC606A" w:rsidRDefault="007A22D2">
      <w:pPr>
        <w:spacing w:before="240" w:after="240"/>
        <w:rPr>
          <w:b/>
        </w:rPr>
      </w:pPr>
      <w:r>
        <w:rPr>
          <w:b/>
        </w:rPr>
        <w:t>Criteria for Selection</w:t>
      </w:r>
    </w:p>
    <w:p w14:paraId="6FFFC45B" w14:textId="77777777" w:rsidR="00EC606A" w:rsidRDefault="007A22D2">
      <w:pPr>
        <w:spacing w:before="240" w:after="240"/>
      </w:pPr>
      <w:r>
        <w:t>The following criteria will be used for selection:</w:t>
      </w:r>
    </w:p>
    <w:p w14:paraId="6FFFC45C" w14:textId="77777777" w:rsidR="00EC606A" w:rsidRDefault="007A22D2">
      <w:pPr>
        <w:spacing w:before="240" w:after="240"/>
      </w:pPr>
      <w:r>
        <w:t>·</w:t>
      </w:r>
      <w:r>
        <w:rPr>
          <w:rFonts w:ascii="Times New Roman" w:eastAsia="Times New Roman" w:hAnsi="Times New Roman" w:cs="Times New Roman"/>
          <w:sz w:val="14"/>
          <w:szCs w:val="14"/>
        </w:rPr>
        <w:t xml:space="preserve">        </w:t>
      </w:r>
      <w:r>
        <w:t>Reviews from professionally recognized sources</w:t>
      </w:r>
    </w:p>
    <w:p w14:paraId="6FFFC45D" w14:textId="77777777" w:rsidR="00EC606A" w:rsidRDefault="007A22D2">
      <w:pPr>
        <w:spacing w:before="240" w:after="240"/>
      </w:pPr>
      <w:r>
        <w:t>·</w:t>
      </w:r>
      <w:r>
        <w:rPr>
          <w:rFonts w:ascii="Times New Roman" w:eastAsia="Times New Roman" w:hAnsi="Times New Roman" w:cs="Times New Roman"/>
          <w:sz w:val="14"/>
          <w:szCs w:val="14"/>
        </w:rPr>
        <w:t xml:space="preserve">        </w:t>
      </w:r>
      <w:r>
        <w:t>Date of publication</w:t>
      </w:r>
    </w:p>
    <w:p w14:paraId="6FFFC45E" w14:textId="77777777" w:rsidR="00EC606A" w:rsidRDefault="007A22D2">
      <w:pPr>
        <w:spacing w:before="240" w:after="240"/>
      </w:pPr>
      <w:r>
        <w:t>·</w:t>
      </w:r>
      <w:r>
        <w:rPr>
          <w:rFonts w:ascii="Times New Roman" w:eastAsia="Times New Roman" w:hAnsi="Times New Roman" w:cs="Times New Roman"/>
          <w:sz w:val="14"/>
          <w:szCs w:val="14"/>
        </w:rPr>
        <w:t xml:space="preserve">        </w:t>
      </w:r>
      <w:r>
        <w:t>Significance of author, publisher</w:t>
      </w:r>
    </w:p>
    <w:p w14:paraId="6FFFC45F" w14:textId="77777777" w:rsidR="00EC606A" w:rsidRDefault="007A22D2">
      <w:pPr>
        <w:spacing w:before="240" w:after="240"/>
      </w:pPr>
      <w:r>
        <w:t>·</w:t>
      </w:r>
      <w:r>
        <w:rPr>
          <w:rFonts w:ascii="Times New Roman" w:eastAsia="Times New Roman" w:hAnsi="Times New Roman" w:cs="Times New Roman"/>
          <w:sz w:val="14"/>
          <w:szCs w:val="14"/>
        </w:rPr>
        <w:t xml:space="preserve">        </w:t>
      </w:r>
      <w:r>
        <w:t>Patron interest and recommendations</w:t>
      </w:r>
    </w:p>
    <w:p w14:paraId="6FFFC460" w14:textId="77777777" w:rsidR="00EC606A" w:rsidRDefault="007A22D2">
      <w:pPr>
        <w:spacing w:before="240" w:after="240"/>
      </w:pPr>
      <w:r>
        <w:t>·</w:t>
      </w:r>
      <w:r>
        <w:rPr>
          <w:rFonts w:ascii="Times New Roman" w:eastAsia="Times New Roman" w:hAnsi="Times New Roman" w:cs="Times New Roman"/>
          <w:sz w:val="14"/>
          <w:szCs w:val="14"/>
        </w:rPr>
        <w:t xml:space="preserve">        </w:t>
      </w:r>
      <w:r>
        <w:t>Price, availability, and budget</w:t>
      </w:r>
    </w:p>
    <w:p w14:paraId="6FFFC461" w14:textId="77777777" w:rsidR="00EC606A" w:rsidRDefault="007A22D2">
      <w:pPr>
        <w:spacing w:before="240" w:after="240"/>
      </w:pPr>
      <w:r>
        <w:t>IDL does not collect textbooks or self-published books. Exceptions may be made for self-published titles that have received national or state-wide media attention.</w:t>
      </w:r>
    </w:p>
    <w:p w14:paraId="6FFFC462" w14:textId="77777777" w:rsidR="00EC606A" w:rsidRDefault="007A22D2">
      <w:pPr>
        <w:spacing w:before="240" w:after="240"/>
        <w:rPr>
          <w:b/>
        </w:rPr>
      </w:pPr>
      <w:r>
        <w:rPr>
          <w:b/>
        </w:rPr>
        <w:t>Weeding</w:t>
      </w:r>
    </w:p>
    <w:p w14:paraId="6FFFC463" w14:textId="77777777" w:rsidR="00EC606A" w:rsidRDefault="007A22D2">
      <w:pPr>
        <w:spacing w:before="240" w:after="240"/>
      </w:pPr>
      <w:r>
        <w:t>Metered access titles with no active holds will be deleted automatically.</w:t>
      </w:r>
    </w:p>
    <w:p w14:paraId="6FFFC464" w14:textId="77777777" w:rsidR="00EC606A" w:rsidRDefault="007A22D2">
      <w:pPr>
        <w:spacing w:before="240" w:after="240"/>
      </w:pPr>
      <w:r>
        <w:t>Other items may be deleted based on relevancy, outdated or inaccurate information, lack of circulation, or age.</w:t>
      </w:r>
    </w:p>
    <w:p w14:paraId="6FFFC465" w14:textId="77777777" w:rsidR="00EC606A" w:rsidRDefault="007A22D2">
      <w:pPr>
        <w:spacing w:before="240" w:after="240"/>
        <w:rPr>
          <w:b/>
        </w:rPr>
      </w:pPr>
      <w:r>
        <w:rPr>
          <w:b/>
        </w:rPr>
        <w:t>Materials Reconsideration</w:t>
      </w:r>
    </w:p>
    <w:p w14:paraId="6FFFC466" w14:textId="77777777" w:rsidR="00EC606A" w:rsidRDefault="007A22D2">
      <w:pPr>
        <w:spacing w:before="240" w:after="240"/>
      </w:pPr>
      <w:r>
        <w:t>IDL recognizes that many materials are controversial and that any given item may offend some patrons. The choice of library materials by users is an individual matter. An individual may reject certain items for themselves or their family, but they do not have the right to restrict access to these materials by others. Parents and legal guardians have the responsibility for their child’s use of IDL’s collection.</w:t>
      </w:r>
    </w:p>
    <w:p w14:paraId="6FFFC467" w14:textId="77777777" w:rsidR="00EC606A" w:rsidRDefault="007A22D2">
      <w:pPr>
        <w:spacing w:before="240" w:after="240"/>
      </w:pPr>
      <w:r>
        <w:t xml:space="preserve">Due to the nature of a digital consortium, library patrons have access to materials selected by librarians across the state for a wide range of people from a variety of communities. It is not possible to suppress individual </w:t>
      </w:r>
      <w:proofErr w:type="spellStart"/>
      <w:r>
        <w:t>consortial</w:t>
      </w:r>
      <w:proofErr w:type="spellEnd"/>
      <w:r>
        <w:t xml:space="preserve"> titles, or Advantage Plus titles shared from member libraries, from the Libby app for certain participants. Access to the consortium means access to all of </w:t>
      </w:r>
      <w:proofErr w:type="spellStart"/>
      <w:proofErr w:type="gramStart"/>
      <w:r>
        <w:t>it’s</w:t>
      </w:r>
      <w:proofErr w:type="spellEnd"/>
      <w:proofErr w:type="gramEnd"/>
      <w:r>
        <w:t xml:space="preserve"> content.</w:t>
      </w:r>
    </w:p>
    <w:p w14:paraId="6FFFC468" w14:textId="77777777" w:rsidR="00EC606A" w:rsidRDefault="007A22D2">
      <w:pPr>
        <w:spacing w:before="240" w:after="240"/>
      </w:pPr>
      <w:r>
        <w:t xml:space="preserve">Complaints regarding materials should be directed to the user’s home library under their materials reconsideration policy. Decisions resulting from a materials reconsideration request apply only to that library’s title and not to the same title purchased by other libraries. </w:t>
      </w:r>
    </w:p>
    <w:p w14:paraId="6FFFC469" w14:textId="77777777" w:rsidR="00EC606A" w:rsidRDefault="007A22D2">
      <w:pPr>
        <w:spacing w:before="240" w:after="240"/>
      </w:pPr>
      <w:r>
        <w:t xml:space="preserve">Requests for reconsideration of items purchased by the Consortium Management Team should be directed to the State Librarian at the Indiana State Library who will ask 3-5 directors of </w:t>
      </w:r>
      <w:r>
        <w:lastRenderedPageBreak/>
        <w:t>member libraries to serve on an ad hoc committee to review the reconsideration request. This committee shall have no oversight of member libraries’ collections.</w:t>
      </w:r>
    </w:p>
    <w:sectPr w:rsidR="00EC606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C46C" w14:textId="77777777" w:rsidR="00902DC6" w:rsidRDefault="007A22D2">
      <w:pPr>
        <w:spacing w:line="240" w:lineRule="auto"/>
      </w:pPr>
      <w:r>
        <w:separator/>
      </w:r>
    </w:p>
  </w:endnote>
  <w:endnote w:type="continuationSeparator" w:id="0">
    <w:p w14:paraId="6FFFC46D" w14:textId="77777777" w:rsidR="00902DC6" w:rsidRDefault="007A2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C46E" w14:textId="77777777" w:rsidR="00EC606A" w:rsidRDefault="00EC606A">
    <w:pPr>
      <w:rPr>
        <w:sz w:val="18"/>
        <w:szCs w:val="18"/>
      </w:rPr>
    </w:pPr>
  </w:p>
  <w:p w14:paraId="6FFFC46F" w14:textId="77777777" w:rsidR="00EC606A" w:rsidRDefault="00EC606A">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C46A" w14:textId="77777777" w:rsidR="00902DC6" w:rsidRDefault="007A22D2">
      <w:pPr>
        <w:spacing w:line="240" w:lineRule="auto"/>
      </w:pPr>
      <w:r>
        <w:separator/>
      </w:r>
    </w:p>
  </w:footnote>
  <w:footnote w:type="continuationSeparator" w:id="0">
    <w:p w14:paraId="6FFFC46B" w14:textId="77777777" w:rsidR="00902DC6" w:rsidRDefault="007A22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6A"/>
    <w:rsid w:val="00466304"/>
    <w:rsid w:val="007A22D2"/>
    <w:rsid w:val="00902DC6"/>
    <w:rsid w:val="00EC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C44A"/>
  <w15:docId w15:val="{5F498CB0-D7CB-4973-BFC1-698353B7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Asberry, Stephanie</cp:lastModifiedBy>
  <cp:revision>3</cp:revision>
  <dcterms:created xsi:type="dcterms:W3CDTF">2022-02-09T20:34:00Z</dcterms:created>
  <dcterms:modified xsi:type="dcterms:W3CDTF">2022-02-09T20:45:00Z</dcterms:modified>
</cp:coreProperties>
</file>