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BAED" w14:textId="77777777" w:rsidR="00B56C32" w:rsidRDefault="00000000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Notificación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Solicitar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SUN Bucks</w:t>
      </w:r>
    </w:p>
    <w:p w14:paraId="0E2D0478" w14:textId="77777777" w:rsidR="00B56C32" w:rsidRDefault="00B56C3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011386C" w14:textId="77777777" w:rsidR="00B56C32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Estimado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nombre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del padre,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madre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o tutor</w:t>
      </w:r>
      <w:r>
        <w:rPr>
          <w:rFonts w:ascii="Times New Roman" w:eastAsia="Times New Roman" w:hAnsi="Times New Roman" w:cs="Times New Roman"/>
          <w:sz w:val="20"/>
          <w:szCs w:val="20"/>
        </w:rPr>
        <w:t>]:</w:t>
      </w:r>
    </w:p>
    <w:p w14:paraId="5FAE765A" w14:textId="77777777" w:rsidR="00B56C32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ingresos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inferiores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al 185 % del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nivel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federal,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pueden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calificar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un nuevo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llamado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SUN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Bucks.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sido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notificado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elegibilidad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Certificación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Directa, no es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necesario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</w:p>
    <w:p w14:paraId="42FF42EC" w14:textId="77777777" w:rsidR="00B56C32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0"/>
          <w:szCs w:val="20"/>
          <w:shd w:val="clear" w:color="auto" w:fill="D9D2E9"/>
        </w:rPr>
      </w:pPr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familias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participantes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recibirán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$120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cada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califique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pagos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aplicarán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tarjeta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usar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comprar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alimentos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supermercados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mercados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agricultores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otros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lugares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autorizados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determinar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califica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para Sun</w:t>
      </w:r>
      <w:proofErr w:type="gram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Bucks,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rellenar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SUN Bucks,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visitó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https://indianasunbucks.com</w:t>
        </w:r>
      </w:hyperlink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Asegúrese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completar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antes del 16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agosto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2024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obtener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Si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necesita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ayuda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completar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tiene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preguntas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comuníquese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con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</w:p>
    <w:p w14:paraId="55B7249C" w14:textId="77777777" w:rsidR="00B56C32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Tendrá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entregar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nombre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escuela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fecha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nacimiento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además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nombres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otras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personas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ingresos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donde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desea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le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envíen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tarjeta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No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necesitará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presentar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documentos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para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aplicación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Recibir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SUN Bucks no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afectará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estado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migratorio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o las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familias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.</w:t>
      </w:r>
    </w:p>
    <w:p w14:paraId="6E045C72" w14:textId="77777777" w:rsidR="00B56C32" w:rsidRDefault="00000000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Incluido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SUN Bucks,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niños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tengan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años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menos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también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pueden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recibir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comidas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gratis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comedores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. Para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encontrar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ubicación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comedor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más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cercano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llame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al 1-866-3-HUNGRY o 1-877-8-HAMBRE (o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envíe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mensaje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texto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al 914-342-7744 con la palabra clave “summer meals” o “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comidas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verano</w:t>
      </w:r>
      <w:proofErr w:type="spellEnd"/>
      <w:r>
        <w:rPr>
          <w:rFonts w:ascii="Times New Roman" w:eastAsia="Times New Roman" w:hAnsi="Times New Roman" w:cs="Times New Roman"/>
          <w:color w:val="242424"/>
          <w:sz w:val="20"/>
          <w:szCs w:val="20"/>
        </w:rPr>
        <w:t>”).</w:t>
      </w:r>
    </w:p>
    <w:p w14:paraId="385B7135" w14:textId="77777777" w:rsidR="00B56C32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preguntas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póngase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contacto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[insert school level contact information]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12D865" w14:textId="77777777" w:rsidR="00B56C32" w:rsidRDefault="00B5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461E0" w14:textId="77777777" w:rsidR="00B56C32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Atentamente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582B9747" w14:textId="77777777" w:rsidR="00B56C32" w:rsidRDefault="0000000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[Nombre]</w:t>
      </w:r>
    </w:p>
    <w:p w14:paraId="1B5774E2" w14:textId="77777777" w:rsidR="00B56C32" w:rsidRDefault="0000000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[Cargo]</w:t>
      </w:r>
    </w:p>
    <w:p w14:paraId="052BBFC5" w14:textId="77777777" w:rsidR="00B56C32" w:rsidRDefault="00B56C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8AED9" w14:textId="77777777" w:rsidR="00B56C32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usted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recibe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más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$120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hijo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elegible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hogar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no use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beneficios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póngase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contacto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inmediato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con </w:t>
      </w:r>
      <w:hyperlink r:id="rId6">
        <w:r>
          <w:rPr>
            <w:rFonts w:ascii="Times New Roman" w:eastAsia="Times New Roman" w:hAnsi="Times New Roman" w:cs="Times New Roman"/>
            <w:i/>
            <w:color w:val="1155CC"/>
            <w:sz w:val="20"/>
            <w:szCs w:val="20"/>
            <w:u w:val="single"/>
          </w:rPr>
          <w:t>https://idoe.atlassian.net/servicedesk/customer/portal/11</w:t>
        </w:r>
      </w:hyperlink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confirmar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corregir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error.</w:t>
      </w:r>
    </w:p>
    <w:p w14:paraId="1D08A336" w14:textId="77777777" w:rsidR="00B56C32" w:rsidRDefault="00B56C32">
      <w:pPr>
        <w:spacing w:line="240" w:lineRule="auto"/>
        <w:ind w:left="1440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6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695"/>
        <w:gridCol w:w="1695"/>
        <w:gridCol w:w="1695"/>
      </w:tblGrid>
      <w:tr w:rsidR="00B56C32" w14:paraId="51076294" w14:textId="77777777">
        <w:trPr>
          <w:trHeight w:val="281"/>
          <w:jc w:val="center"/>
        </w:trPr>
        <w:tc>
          <w:tcPr>
            <w:tcW w:w="6779" w:type="dxa"/>
            <w:gridSpan w:val="4"/>
            <w:shd w:val="clear" w:color="auto" w:fill="D9D9D9"/>
            <w:vAlign w:val="center"/>
          </w:tcPr>
          <w:p w14:paraId="6F6A0324" w14:textId="77777777" w:rsidR="00B56C32" w:rsidRDefault="00000000">
            <w:pPr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TABLA FEDERAL DE ELEGIBILIDAD POR INGRESOS para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escolar 2023-24</w:t>
            </w:r>
          </w:p>
        </w:tc>
      </w:tr>
      <w:tr w:rsidR="00B56C32" w14:paraId="207B3EC1" w14:textId="77777777">
        <w:trPr>
          <w:trHeight w:val="281"/>
          <w:jc w:val="center"/>
        </w:trPr>
        <w:tc>
          <w:tcPr>
            <w:tcW w:w="1694" w:type="dxa"/>
          </w:tcPr>
          <w:p w14:paraId="235DB430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Tamaño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695" w:type="dxa"/>
          </w:tcPr>
          <w:p w14:paraId="5CD668E8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695" w:type="dxa"/>
          </w:tcPr>
          <w:p w14:paraId="28837376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Mensual</w:t>
            </w:r>
            <w:proofErr w:type="spellEnd"/>
          </w:p>
        </w:tc>
        <w:tc>
          <w:tcPr>
            <w:tcW w:w="1695" w:type="dxa"/>
          </w:tcPr>
          <w:p w14:paraId="55F12DEA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Semanal</w:t>
            </w:r>
            <w:proofErr w:type="spellEnd"/>
          </w:p>
        </w:tc>
      </w:tr>
      <w:tr w:rsidR="00B56C32" w14:paraId="70A15B55" w14:textId="77777777">
        <w:trPr>
          <w:trHeight w:val="281"/>
          <w:jc w:val="center"/>
        </w:trPr>
        <w:tc>
          <w:tcPr>
            <w:tcW w:w="1694" w:type="dxa"/>
          </w:tcPr>
          <w:p w14:paraId="3323364D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6E6AF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26,973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CC90C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2,248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9CCC4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519</w:t>
            </w:r>
          </w:p>
        </w:tc>
      </w:tr>
      <w:tr w:rsidR="00B56C32" w14:paraId="6C12C2A0" w14:textId="77777777">
        <w:trPr>
          <w:trHeight w:val="281"/>
          <w:jc w:val="center"/>
        </w:trPr>
        <w:tc>
          <w:tcPr>
            <w:tcW w:w="1694" w:type="dxa"/>
          </w:tcPr>
          <w:p w14:paraId="7939CDCD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9307A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36,482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58DAA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3,041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88854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702</w:t>
            </w:r>
          </w:p>
        </w:tc>
      </w:tr>
      <w:tr w:rsidR="00B56C32" w14:paraId="66B34A62" w14:textId="77777777">
        <w:trPr>
          <w:trHeight w:val="281"/>
          <w:jc w:val="center"/>
        </w:trPr>
        <w:tc>
          <w:tcPr>
            <w:tcW w:w="1694" w:type="dxa"/>
          </w:tcPr>
          <w:p w14:paraId="26C1523D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CA707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45,991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0B294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3,833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F94FC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885</w:t>
            </w:r>
          </w:p>
        </w:tc>
      </w:tr>
      <w:tr w:rsidR="00B56C32" w14:paraId="2E999562" w14:textId="77777777">
        <w:trPr>
          <w:trHeight w:val="281"/>
          <w:jc w:val="center"/>
        </w:trPr>
        <w:tc>
          <w:tcPr>
            <w:tcW w:w="1694" w:type="dxa"/>
          </w:tcPr>
          <w:p w14:paraId="07396C58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E1E2C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55,500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84C48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4,625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35F3D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1,068</w:t>
            </w:r>
          </w:p>
        </w:tc>
      </w:tr>
      <w:tr w:rsidR="00B56C32" w14:paraId="56DB788F" w14:textId="77777777">
        <w:trPr>
          <w:trHeight w:val="281"/>
          <w:jc w:val="center"/>
        </w:trPr>
        <w:tc>
          <w:tcPr>
            <w:tcW w:w="1694" w:type="dxa"/>
          </w:tcPr>
          <w:p w14:paraId="55048B7F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85823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65,009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9F7C2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5,418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27411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1,251</w:t>
            </w:r>
          </w:p>
        </w:tc>
      </w:tr>
      <w:tr w:rsidR="00B56C32" w14:paraId="44C90488" w14:textId="77777777">
        <w:trPr>
          <w:trHeight w:val="281"/>
          <w:jc w:val="center"/>
        </w:trPr>
        <w:tc>
          <w:tcPr>
            <w:tcW w:w="1694" w:type="dxa"/>
          </w:tcPr>
          <w:p w14:paraId="3CACD8EA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A5DE7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74,518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13909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6,210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61178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1,434</w:t>
            </w:r>
          </w:p>
        </w:tc>
      </w:tr>
      <w:tr w:rsidR="00B56C32" w14:paraId="59247509" w14:textId="77777777">
        <w:trPr>
          <w:trHeight w:val="281"/>
          <w:jc w:val="center"/>
        </w:trPr>
        <w:tc>
          <w:tcPr>
            <w:tcW w:w="1694" w:type="dxa"/>
          </w:tcPr>
          <w:p w14:paraId="6EBFAA5F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7FDF7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84,027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6C585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7,003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46285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1,616</w:t>
            </w:r>
          </w:p>
        </w:tc>
      </w:tr>
      <w:tr w:rsidR="00B56C32" w14:paraId="3FFA1076" w14:textId="77777777">
        <w:trPr>
          <w:trHeight w:val="281"/>
          <w:jc w:val="center"/>
        </w:trPr>
        <w:tc>
          <w:tcPr>
            <w:tcW w:w="1694" w:type="dxa"/>
          </w:tcPr>
          <w:p w14:paraId="66AAC99C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562BA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93,536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9597B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7,795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A8A58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1,799</w:t>
            </w:r>
          </w:p>
        </w:tc>
      </w:tr>
      <w:tr w:rsidR="00B56C32" w14:paraId="68CE8715" w14:textId="77777777">
        <w:trPr>
          <w:trHeight w:val="605"/>
          <w:jc w:val="center"/>
        </w:trPr>
        <w:tc>
          <w:tcPr>
            <w:tcW w:w="1694" w:type="dxa"/>
          </w:tcPr>
          <w:p w14:paraId="77564512" w14:textId="77777777" w:rsidR="00B56C32" w:rsidRDefault="00000000">
            <w:pPr>
              <w:spacing w:line="25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persona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adicional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4CB4F" w14:textId="77777777" w:rsidR="00B56C32" w:rsidRDefault="00B56C32">
            <w:pPr>
              <w:widowControl w:val="0"/>
              <w:spacing w:before="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1874A3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+9,509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F4A02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+793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722CA" w14:textId="77777777" w:rsidR="00B56C32" w:rsidRDefault="00000000">
            <w:pPr>
              <w:widowControl w:val="0"/>
              <w:spacing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+183</w:t>
            </w:r>
          </w:p>
        </w:tc>
      </w:tr>
    </w:tbl>
    <w:p w14:paraId="56211974" w14:textId="77777777" w:rsidR="00B56C3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 wp14:anchorId="6E6E7465" wp14:editId="1E743CB5">
            <wp:extent cx="1271588" cy="828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2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A5566" w14:textId="77777777" w:rsidR="00B56C32" w:rsidRDefault="000000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 w14:anchorId="6C49A286">
          <v:rect id="_x0000_i1025" style="width:0;height:1.5pt" o:hralign="center" o:hrstd="t" o:hr="t" fillcolor="#a0a0a0" stroked="f"/>
        </w:pict>
      </w:r>
    </w:p>
    <w:p w14:paraId="290B173A" w14:textId="77777777" w:rsidR="00B56C32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todos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demás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asistencia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nutrición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del FNS,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agencias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estatales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 locales y sus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subreceptores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deben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publicar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siguiente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Declaración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No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Discriminación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acuerdo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 ley federal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las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normas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políticas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Departamento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Agricultura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Unidos (USDA),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prohibida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motivos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raza, color,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origen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sexo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incluyendo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identidad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género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orientación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sexual),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represalia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retorsión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previas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986D880" w14:textId="77777777" w:rsidR="00B56C32" w:rsidRDefault="00B56C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2C6477" w14:textId="77777777" w:rsidR="00B56C32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disponible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idiomas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inglés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Las personas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discapacidades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requieren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alternos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obtener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ejemplo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Braille,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grande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audio,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lenguaje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señas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americano (ASL), etc.)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comunicarse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local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estatal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responsable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Centro TARGET del USDA al (202) 720-2600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TTY)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comuníquese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USDA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través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Servicio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Federal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Retransmisión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(800) 877-8339.</w:t>
      </w:r>
    </w:p>
    <w:p w14:paraId="03170B64" w14:textId="77777777" w:rsidR="00B56C32" w:rsidRDefault="00B56C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1CACDC" w14:textId="77777777" w:rsidR="00B56C32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reclamante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llenar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AD-3027,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programa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USDA,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puede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obtenerse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línea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https://www.usda.gov/sites/default/files/documents/ad-3027s.pdf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cualquier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oficina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USDA,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llamando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(866) 632-9992,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escribiendo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dirigida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USDA. La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contener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nombre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demandante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dirección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número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teléfono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descripción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escrita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discriminatoria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alegada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suficiente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detalle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Subsecretario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(ASCR)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naturaleza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presunta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violación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civiles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formulario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AD-3027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completado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la carta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debe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presentarse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USDA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52029E0" w14:textId="77777777" w:rsidR="00B56C32" w:rsidRDefault="00B56C3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33877" w14:textId="77777777" w:rsidR="00B56C32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correo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U.S. Department of Agriculture, Office of the Assistant Secretary for Civil Rights, 1400 Independence Avenue, SW, Washington, D.C. 20250-9410;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(833)256-1665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(202) 690-7442;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correo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electrónico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program.intake@usda.gov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C9E8A6" w14:textId="77777777" w:rsidR="00B56C32" w:rsidRDefault="00B56C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EF03B7" w14:textId="77777777" w:rsidR="00B56C32" w:rsidRDefault="0000000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entidad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es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proveedor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brinda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igualdad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oportunidades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56C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32"/>
    <w:rsid w:val="000167C5"/>
    <w:rsid w:val="00B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F86B"/>
  <w15:docId w15:val="{58E2AB1F-05D4-4526-B10E-7775031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ad-3027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oe.atlassian.net/servicedesk/customer/portal/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oe.atlassian.net/servicedesk/customer/portal/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dianasunbucks.com" TargetMode="Externa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Huntzer, Gretchen</dc:creator>
  <cp:lastModifiedBy>Huntzer, Gretchen</cp:lastModifiedBy>
  <cp:revision>2</cp:revision>
  <dcterms:created xsi:type="dcterms:W3CDTF">2024-04-02T13:52:00Z</dcterms:created>
  <dcterms:modified xsi:type="dcterms:W3CDTF">2024-04-02T13:52:00Z</dcterms:modified>
</cp:coreProperties>
</file>